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89BFD" w14:textId="77777777" w:rsidR="000C7091" w:rsidRDefault="000C7091">
      <w:pPr>
        <w:spacing w:after="0"/>
        <w:jc w:val="center"/>
        <w:rPr>
          <w:rFonts w:ascii="Arial" w:eastAsia="Arial" w:hAnsi="Arial" w:cs="Arial"/>
          <w:b/>
          <w:color w:val="202124"/>
          <w:sz w:val="28"/>
          <w:szCs w:val="28"/>
          <w:highlight w:val="white"/>
        </w:rPr>
      </w:pPr>
    </w:p>
    <w:p w14:paraId="3629FFF5" w14:textId="77777777" w:rsidR="007F4969" w:rsidRDefault="007F4969" w:rsidP="007F4969">
      <w:pPr>
        <w:spacing w:after="0"/>
        <w:jc w:val="center"/>
        <w:rPr>
          <w:rFonts w:ascii="Arial" w:eastAsia="Arial" w:hAnsi="Arial" w:cs="Arial"/>
          <w:b/>
          <w:color w:val="202124"/>
          <w:sz w:val="28"/>
          <w:szCs w:val="28"/>
          <w:highlight w:val="white"/>
        </w:rPr>
      </w:pPr>
      <w:r>
        <w:rPr>
          <w:rFonts w:ascii="Arial" w:eastAsia="Arial" w:hAnsi="Arial" w:cs="Arial"/>
          <w:b/>
          <w:color w:val="202124"/>
          <w:sz w:val="28"/>
          <w:szCs w:val="28"/>
          <w:highlight w:val="white"/>
        </w:rPr>
        <w:t>PRINCÍPIOS ATIVOS CISTEAMINA E α-ARBUTIN NO TRATAMENTO DO MELASMA</w:t>
      </w:r>
    </w:p>
    <w:p w14:paraId="044D3977" w14:textId="77777777" w:rsidR="007F4969" w:rsidRDefault="007F4969" w:rsidP="007F4969">
      <w:pPr>
        <w:spacing w:after="0"/>
        <w:jc w:val="center"/>
        <w:rPr>
          <w:rFonts w:ascii="Arial" w:eastAsia="Arial" w:hAnsi="Arial" w:cs="Arial"/>
          <w:i/>
          <w:color w:val="202124"/>
          <w:sz w:val="20"/>
          <w:szCs w:val="20"/>
          <w:highlight w:val="white"/>
        </w:rPr>
      </w:pPr>
    </w:p>
    <w:p w14:paraId="21A24D71" w14:textId="77777777" w:rsidR="007F4969" w:rsidRDefault="007F4969" w:rsidP="007F4969">
      <w:pPr>
        <w:spacing w:after="0"/>
        <w:jc w:val="right"/>
        <w:rPr>
          <w:rFonts w:ascii="Arial" w:eastAsia="Arial" w:hAnsi="Arial" w:cs="Arial"/>
          <w:b/>
          <w:color w:val="202124"/>
          <w:sz w:val="20"/>
          <w:szCs w:val="20"/>
          <w:highlight w:val="white"/>
          <w:vertAlign w:val="superscript"/>
        </w:rPr>
      </w:pPr>
      <w:r>
        <w:rPr>
          <w:rFonts w:ascii="Arial" w:eastAsia="Arial" w:hAnsi="Arial" w:cs="Arial"/>
          <w:b/>
          <w:color w:val="202124"/>
          <w:sz w:val="20"/>
          <w:szCs w:val="20"/>
          <w:highlight w:val="white"/>
        </w:rPr>
        <w:t>Ana Maria Bayer</w:t>
      </w:r>
      <w:r>
        <w:rPr>
          <w:rFonts w:ascii="Arial" w:eastAsia="Arial" w:hAnsi="Arial" w:cs="Arial"/>
          <w:b/>
          <w:color w:val="202124"/>
          <w:sz w:val="20"/>
          <w:szCs w:val="20"/>
          <w:highlight w:val="white"/>
          <w:vertAlign w:val="superscript"/>
        </w:rPr>
        <w:footnoteReference w:id="1"/>
      </w:r>
    </w:p>
    <w:p w14:paraId="6A81BF44" w14:textId="77777777" w:rsidR="007F4969" w:rsidRDefault="007F4969" w:rsidP="007F4969">
      <w:pPr>
        <w:spacing w:after="0"/>
        <w:jc w:val="right"/>
        <w:rPr>
          <w:rFonts w:ascii="Arial" w:eastAsia="Arial" w:hAnsi="Arial" w:cs="Arial"/>
          <w:b/>
          <w:color w:val="202124"/>
          <w:sz w:val="20"/>
          <w:szCs w:val="20"/>
          <w:highlight w:val="white"/>
          <w:vertAlign w:val="superscript"/>
        </w:rPr>
      </w:pPr>
      <w:r>
        <w:rPr>
          <w:rFonts w:ascii="Arial" w:eastAsia="Arial" w:hAnsi="Arial" w:cs="Arial"/>
          <w:b/>
          <w:color w:val="202124"/>
          <w:sz w:val="20"/>
          <w:szCs w:val="20"/>
          <w:highlight w:val="white"/>
        </w:rPr>
        <w:t xml:space="preserve"> Nathália Lehn</w:t>
      </w:r>
      <w:r>
        <w:rPr>
          <w:rFonts w:ascii="Arial" w:eastAsia="Arial" w:hAnsi="Arial" w:cs="Arial"/>
          <w:b/>
          <w:color w:val="202124"/>
          <w:sz w:val="20"/>
          <w:szCs w:val="20"/>
          <w:highlight w:val="white"/>
          <w:vertAlign w:val="superscript"/>
        </w:rPr>
        <w:footnoteReference w:id="2"/>
      </w:r>
    </w:p>
    <w:p w14:paraId="0E937E08" w14:textId="77777777" w:rsidR="007F4969" w:rsidRDefault="007F4969" w:rsidP="007F4969">
      <w:pPr>
        <w:spacing w:after="0"/>
        <w:jc w:val="right"/>
        <w:rPr>
          <w:rFonts w:ascii="Arial" w:eastAsia="Arial" w:hAnsi="Arial" w:cs="Arial"/>
          <w:b/>
          <w:color w:val="202124"/>
          <w:sz w:val="20"/>
          <w:szCs w:val="20"/>
          <w:highlight w:val="white"/>
          <w:vertAlign w:val="superscript"/>
        </w:rPr>
      </w:pPr>
      <w:r>
        <w:rPr>
          <w:rFonts w:ascii="Arial" w:eastAsia="Arial" w:hAnsi="Arial" w:cs="Arial"/>
          <w:b/>
          <w:color w:val="202124"/>
          <w:sz w:val="20"/>
          <w:szCs w:val="20"/>
          <w:highlight w:val="white"/>
        </w:rPr>
        <w:t>Dione Silva Corrêa</w:t>
      </w:r>
      <w:r>
        <w:rPr>
          <w:rFonts w:ascii="Arial" w:eastAsia="Arial" w:hAnsi="Arial" w:cs="Arial"/>
          <w:b/>
          <w:color w:val="202124"/>
          <w:sz w:val="20"/>
          <w:szCs w:val="20"/>
          <w:highlight w:val="white"/>
          <w:vertAlign w:val="superscript"/>
        </w:rPr>
        <w:t>3</w:t>
      </w:r>
    </w:p>
    <w:p w14:paraId="4B56A2B7" w14:textId="77777777" w:rsidR="007F4969" w:rsidRDefault="007F4969" w:rsidP="007F4969">
      <w:pPr>
        <w:spacing w:after="0"/>
        <w:jc w:val="center"/>
        <w:rPr>
          <w:rFonts w:ascii="Arial" w:eastAsia="Arial" w:hAnsi="Arial" w:cs="Arial"/>
          <w:i/>
          <w:color w:val="202124"/>
          <w:sz w:val="20"/>
          <w:szCs w:val="20"/>
          <w:highlight w:val="white"/>
        </w:rPr>
      </w:pPr>
    </w:p>
    <w:p w14:paraId="55AD2DF5" w14:textId="77777777" w:rsidR="007F4969" w:rsidRDefault="007F4969" w:rsidP="007F4969">
      <w:pPr>
        <w:shd w:val="clear" w:color="auto" w:fill="FFFFFF"/>
        <w:spacing w:after="0" w:line="276" w:lineRule="auto"/>
        <w:jc w:val="both"/>
        <w:rPr>
          <w:rFonts w:ascii="Arial" w:eastAsia="Arial" w:hAnsi="Arial" w:cs="Arial"/>
          <w:color w:val="39373B"/>
          <w:sz w:val="24"/>
          <w:szCs w:val="24"/>
        </w:rPr>
      </w:pPr>
      <w:r>
        <w:rPr>
          <w:rFonts w:ascii="Arial" w:eastAsia="Arial" w:hAnsi="Arial" w:cs="Arial"/>
          <w:color w:val="39373B"/>
          <w:sz w:val="24"/>
          <w:szCs w:val="24"/>
        </w:rPr>
        <w:t xml:space="preserve">O Melasma é um distúrbio refratário crônico comum de pigmentação, prevalente em tipos de pele mais escuras, e sua prevalência geral varia entre 8,8% e 40%, dependendo da etnia da população e da área geográfica. Os diversos métodos terapêuticos aplicados no tratamento do Melasma apresentam eficácia variável e recidiva das lesões, visto serem baseados no efeito (melanina) e não na causa da doença (controle da </w:t>
      </w:r>
      <w:proofErr w:type="spellStart"/>
      <w:r>
        <w:rPr>
          <w:rFonts w:ascii="Arial" w:eastAsia="Arial" w:hAnsi="Arial" w:cs="Arial"/>
          <w:color w:val="39373B"/>
          <w:sz w:val="24"/>
          <w:szCs w:val="24"/>
        </w:rPr>
        <w:t>melanogênese</w:t>
      </w:r>
      <w:proofErr w:type="spellEnd"/>
      <w:r>
        <w:rPr>
          <w:rFonts w:ascii="Arial" w:eastAsia="Arial" w:hAnsi="Arial" w:cs="Arial"/>
          <w:color w:val="39373B"/>
          <w:sz w:val="24"/>
          <w:szCs w:val="24"/>
        </w:rPr>
        <w:t xml:space="preserve">). As terapias tópicas mais utilizadas são protetores solares e agentes </w:t>
      </w:r>
      <w:proofErr w:type="spellStart"/>
      <w:r>
        <w:rPr>
          <w:rFonts w:ascii="Arial" w:eastAsia="Arial" w:hAnsi="Arial" w:cs="Arial"/>
          <w:color w:val="39373B"/>
          <w:sz w:val="24"/>
          <w:szCs w:val="24"/>
        </w:rPr>
        <w:t>cosmetológicos</w:t>
      </w:r>
      <w:proofErr w:type="spellEnd"/>
      <w:r>
        <w:rPr>
          <w:rFonts w:ascii="Arial" w:eastAsia="Arial" w:hAnsi="Arial" w:cs="Arial"/>
          <w:color w:val="39373B"/>
          <w:sz w:val="24"/>
          <w:szCs w:val="24"/>
        </w:rPr>
        <w:t xml:space="preserve">. O objetivo geral do trabalho consiste em desenvolver e avaliar formulações cosméticas faciais com ação na patogenia de </w:t>
      </w:r>
      <w:proofErr w:type="spellStart"/>
      <w:r>
        <w:rPr>
          <w:rFonts w:ascii="Arial" w:eastAsia="Arial" w:hAnsi="Arial" w:cs="Arial"/>
          <w:color w:val="39373B"/>
          <w:sz w:val="24"/>
          <w:szCs w:val="24"/>
        </w:rPr>
        <w:t>melasma</w:t>
      </w:r>
      <w:proofErr w:type="spellEnd"/>
      <w:r>
        <w:rPr>
          <w:rFonts w:ascii="Arial" w:eastAsia="Arial" w:hAnsi="Arial" w:cs="Arial"/>
          <w:color w:val="39373B"/>
          <w:sz w:val="24"/>
          <w:szCs w:val="24"/>
        </w:rPr>
        <w:t xml:space="preserve"> a partir do uso dos princípios ativos </w:t>
      </w:r>
      <w:proofErr w:type="spellStart"/>
      <w:r>
        <w:rPr>
          <w:rFonts w:ascii="Arial" w:eastAsia="Arial" w:hAnsi="Arial" w:cs="Arial"/>
          <w:color w:val="39373B"/>
          <w:sz w:val="24"/>
          <w:szCs w:val="24"/>
        </w:rPr>
        <w:t>cisteamina</w:t>
      </w:r>
      <w:proofErr w:type="spellEnd"/>
      <w:r>
        <w:rPr>
          <w:rFonts w:ascii="Arial" w:eastAsia="Arial" w:hAnsi="Arial" w:cs="Arial"/>
          <w:color w:val="39373B"/>
          <w:sz w:val="24"/>
          <w:szCs w:val="24"/>
        </w:rPr>
        <w:t xml:space="preserve"> e α-</w:t>
      </w:r>
      <w:proofErr w:type="spellStart"/>
      <w:r>
        <w:rPr>
          <w:rFonts w:ascii="Arial" w:eastAsia="Arial" w:hAnsi="Arial" w:cs="Arial"/>
          <w:color w:val="39373B"/>
          <w:sz w:val="24"/>
          <w:szCs w:val="24"/>
        </w:rPr>
        <w:t>arbutin</w:t>
      </w:r>
      <w:proofErr w:type="spellEnd"/>
      <w:r>
        <w:rPr>
          <w:rFonts w:ascii="Arial" w:eastAsia="Arial" w:hAnsi="Arial" w:cs="Arial"/>
          <w:color w:val="39373B"/>
          <w:sz w:val="24"/>
          <w:szCs w:val="24"/>
        </w:rPr>
        <w:t xml:space="preserve">. Os bioativos objetos do presente estudo são a </w:t>
      </w:r>
      <w:proofErr w:type="spellStart"/>
      <w:r>
        <w:rPr>
          <w:rFonts w:ascii="Arial" w:eastAsia="Arial" w:hAnsi="Arial" w:cs="Arial"/>
          <w:color w:val="39373B"/>
          <w:sz w:val="24"/>
          <w:szCs w:val="24"/>
        </w:rPr>
        <w:t>cisteamina</w:t>
      </w:r>
      <w:proofErr w:type="spellEnd"/>
      <w:r>
        <w:rPr>
          <w:rFonts w:ascii="Arial" w:eastAsia="Arial" w:hAnsi="Arial" w:cs="Arial"/>
          <w:color w:val="39373B"/>
          <w:sz w:val="24"/>
          <w:szCs w:val="24"/>
        </w:rPr>
        <w:t xml:space="preserve">, um antioxidante biológico que está presente em todas as células do ciclo metabólico da coenzima A, conhecida como uma potente molécula </w:t>
      </w:r>
      <w:proofErr w:type="spellStart"/>
      <w:r>
        <w:rPr>
          <w:rFonts w:ascii="Arial" w:eastAsia="Arial" w:hAnsi="Arial" w:cs="Arial"/>
          <w:color w:val="39373B"/>
          <w:sz w:val="24"/>
          <w:szCs w:val="24"/>
        </w:rPr>
        <w:t>despigmentante</w:t>
      </w:r>
      <w:proofErr w:type="spellEnd"/>
      <w:r>
        <w:rPr>
          <w:rFonts w:ascii="Arial" w:eastAsia="Arial" w:hAnsi="Arial" w:cs="Arial"/>
          <w:color w:val="39373B"/>
          <w:sz w:val="24"/>
          <w:szCs w:val="24"/>
        </w:rPr>
        <w:t xml:space="preserve"> e o α-</w:t>
      </w:r>
      <w:proofErr w:type="spellStart"/>
      <w:r>
        <w:rPr>
          <w:rFonts w:ascii="Arial" w:eastAsia="Arial" w:hAnsi="Arial" w:cs="Arial"/>
          <w:color w:val="39373B"/>
          <w:sz w:val="24"/>
          <w:szCs w:val="24"/>
        </w:rPr>
        <w:t>arbutin</w:t>
      </w:r>
      <w:proofErr w:type="spellEnd"/>
      <w:r>
        <w:rPr>
          <w:rFonts w:ascii="Arial" w:eastAsia="Arial" w:hAnsi="Arial" w:cs="Arial"/>
          <w:color w:val="39373B"/>
          <w:sz w:val="24"/>
          <w:szCs w:val="24"/>
        </w:rPr>
        <w:t xml:space="preserve">, que é amplamente empregado como agente de clareamento da pele por seu efeito inibitório sobre a tirosinase, uma enzima importante para a geração de pigmentos de melanina. Foram desenvolvidas 3 formulações, empregando a base ômega </w:t>
      </w:r>
      <w:proofErr w:type="spellStart"/>
      <w:r>
        <w:rPr>
          <w:rFonts w:ascii="Arial" w:eastAsia="Arial" w:hAnsi="Arial" w:cs="Arial"/>
          <w:color w:val="39373B"/>
          <w:sz w:val="24"/>
          <w:szCs w:val="24"/>
        </w:rPr>
        <w:t>gold</w:t>
      </w:r>
      <w:proofErr w:type="spellEnd"/>
      <w:r>
        <w:rPr>
          <w:rFonts w:ascii="Arial" w:eastAsia="Arial" w:hAnsi="Arial" w:cs="Arial"/>
          <w:color w:val="39373B"/>
          <w:sz w:val="24"/>
          <w:szCs w:val="24"/>
        </w:rPr>
        <w:t xml:space="preserve"> em associação ao fotoprotetor gel creme Hydro </w:t>
      </w:r>
      <w:proofErr w:type="spellStart"/>
      <w:r>
        <w:rPr>
          <w:rFonts w:ascii="Arial" w:eastAsia="Arial" w:hAnsi="Arial" w:cs="Arial"/>
          <w:color w:val="39373B"/>
          <w:sz w:val="24"/>
          <w:szCs w:val="24"/>
        </w:rPr>
        <w:t>Ancla's</w:t>
      </w:r>
      <w:proofErr w:type="spellEnd"/>
      <w:r>
        <w:rPr>
          <w:rFonts w:ascii="Arial" w:eastAsia="Arial" w:hAnsi="Arial" w:cs="Arial"/>
          <w:color w:val="39373B"/>
          <w:sz w:val="24"/>
          <w:szCs w:val="24"/>
        </w:rPr>
        <w:t xml:space="preserve">; a formulação “A” tem como princípio ativo a </w:t>
      </w:r>
      <w:proofErr w:type="spellStart"/>
      <w:r>
        <w:rPr>
          <w:rFonts w:ascii="Arial" w:eastAsia="Arial" w:hAnsi="Arial" w:cs="Arial"/>
          <w:color w:val="39373B"/>
          <w:sz w:val="24"/>
          <w:szCs w:val="24"/>
        </w:rPr>
        <w:t>cisteamina</w:t>
      </w:r>
      <w:proofErr w:type="spellEnd"/>
      <w:r>
        <w:rPr>
          <w:rFonts w:ascii="Arial" w:eastAsia="Arial" w:hAnsi="Arial" w:cs="Arial"/>
          <w:color w:val="39373B"/>
          <w:sz w:val="24"/>
          <w:szCs w:val="24"/>
        </w:rPr>
        <w:t xml:space="preserve"> 5%, a formulação “B” o α-</w:t>
      </w:r>
      <w:proofErr w:type="spellStart"/>
      <w:r>
        <w:rPr>
          <w:rFonts w:ascii="Arial" w:eastAsia="Arial" w:hAnsi="Arial" w:cs="Arial"/>
          <w:color w:val="39373B"/>
          <w:sz w:val="24"/>
          <w:szCs w:val="24"/>
        </w:rPr>
        <w:t>arbutin</w:t>
      </w:r>
      <w:proofErr w:type="spellEnd"/>
      <w:r>
        <w:rPr>
          <w:rFonts w:ascii="Arial" w:eastAsia="Arial" w:hAnsi="Arial" w:cs="Arial"/>
          <w:color w:val="39373B"/>
          <w:sz w:val="24"/>
          <w:szCs w:val="24"/>
        </w:rPr>
        <w:t xml:space="preserve"> 2% e a formulação “C”, a amostra controle, não contém os princípios bioativos em análise. As características físico-químicas avaliadas foram: pH, solubilidade, teste de centrifugação, materiais voláteis, FPS, </w:t>
      </w:r>
      <w:proofErr w:type="spellStart"/>
      <w:r>
        <w:rPr>
          <w:rFonts w:ascii="Arial" w:eastAsia="Arial" w:hAnsi="Arial" w:cs="Arial"/>
          <w:color w:val="39373B"/>
          <w:sz w:val="24"/>
          <w:szCs w:val="24"/>
        </w:rPr>
        <w:t>fotoestabilidade</w:t>
      </w:r>
      <w:proofErr w:type="spellEnd"/>
      <w:r>
        <w:rPr>
          <w:rFonts w:ascii="Arial" w:eastAsia="Arial" w:hAnsi="Arial" w:cs="Arial"/>
          <w:color w:val="39373B"/>
          <w:sz w:val="24"/>
          <w:szCs w:val="24"/>
        </w:rPr>
        <w:t xml:space="preserve">, estabilidade preliminar e acelerada. Os resultados das medidas de pH,  "A"= 4,0 ; "B"=4,5 e "C"= 6,0, mostram que os bioativos acarretam uma diminuição do pH. Entre os solventes etanol, isopropanol e água, o primeiro foi o que solubilizou melhor as formulações; no teste de centrifugação (300 rpm/30 min) não houve separação de fases, nem </w:t>
      </w:r>
      <w:proofErr w:type="spellStart"/>
      <w:r>
        <w:rPr>
          <w:rFonts w:ascii="Arial" w:eastAsia="Arial" w:hAnsi="Arial" w:cs="Arial"/>
          <w:color w:val="39373B"/>
          <w:sz w:val="24"/>
          <w:szCs w:val="24"/>
        </w:rPr>
        <w:t>cremeação</w:t>
      </w:r>
      <w:proofErr w:type="spellEnd"/>
      <w:r>
        <w:rPr>
          <w:rFonts w:ascii="Arial" w:eastAsia="Arial" w:hAnsi="Arial" w:cs="Arial"/>
          <w:color w:val="39373B"/>
          <w:sz w:val="24"/>
          <w:szCs w:val="24"/>
        </w:rPr>
        <w:t xml:space="preserve">; o percentual  de voláteis foi bastante pequeno nas 3 formulações: "A"=1,05% ; "B"=1,81% ; "C"=2,31%, o fator de proteção  solar pelo teste de Mansur, foi superior a 36. As amostras têm apresentado estabilidade preliminar e acelerada no decorrer dos testes. As formulações desenvolvidas mostraram, até o presente momento, características promissoras para atuarem na terapêutica do </w:t>
      </w:r>
      <w:proofErr w:type="spellStart"/>
      <w:r>
        <w:rPr>
          <w:rFonts w:ascii="Arial" w:eastAsia="Arial" w:hAnsi="Arial" w:cs="Arial"/>
          <w:color w:val="39373B"/>
          <w:sz w:val="24"/>
          <w:szCs w:val="24"/>
        </w:rPr>
        <w:t>melasma</w:t>
      </w:r>
      <w:proofErr w:type="spellEnd"/>
      <w:r>
        <w:rPr>
          <w:rFonts w:ascii="Arial" w:eastAsia="Arial" w:hAnsi="Arial" w:cs="Arial"/>
          <w:color w:val="39373B"/>
          <w:sz w:val="24"/>
          <w:szCs w:val="24"/>
        </w:rPr>
        <w:t>.</w:t>
      </w:r>
    </w:p>
    <w:p w14:paraId="4EECD520" w14:textId="7CE2E981" w:rsidR="000C7091" w:rsidRDefault="007F4969" w:rsidP="007F4969">
      <w:pPr>
        <w:shd w:val="clear" w:color="auto" w:fill="FFFFFF"/>
        <w:spacing w:after="0" w:line="276" w:lineRule="auto"/>
        <w:jc w:val="both"/>
        <w:rPr>
          <w:rFonts w:ascii="Titillium Web" w:eastAsia="Titillium Web" w:hAnsi="Titillium Web" w:cs="Titillium Web"/>
          <w:color w:val="39373B"/>
          <w:sz w:val="27"/>
          <w:szCs w:val="27"/>
        </w:rPr>
      </w:pPr>
      <w:r>
        <w:rPr>
          <w:rFonts w:ascii="Arial" w:eastAsia="Arial" w:hAnsi="Arial" w:cs="Arial"/>
          <w:color w:val="39373B"/>
          <w:sz w:val="24"/>
          <w:szCs w:val="24"/>
        </w:rPr>
        <w:t xml:space="preserve">Palavras-chave: </w:t>
      </w:r>
      <w:proofErr w:type="spellStart"/>
      <w:r>
        <w:rPr>
          <w:rFonts w:ascii="Arial" w:eastAsia="Arial" w:hAnsi="Arial" w:cs="Arial"/>
          <w:color w:val="39373B"/>
          <w:sz w:val="24"/>
          <w:szCs w:val="24"/>
        </w:rPr>
        <w:t>melasma</w:t>
      </w:r>
      <w:proofErr w:type="spellEnd"/>
      <w:r>
        <w:rPr>
          <w:rFonts w:ascii="Arial" w:eastAsia="Arial" w:hAnsi="Arial" w:cs="Arial"/>
          <w:color w:val="39373B"/>
          <w:sz w:val="24"/>
          <w:szCs w:val="24"/>
        </w:rPr>
        <w:t>; α-</w:t>
      </w:r>
      <w:proofErr w:type="spellStart"/>
      <w:r>
        <w:rPr>
          <w:rFonts w:ascii="Arial" w:eastAsia="Arial" w:hAnsi="Arial" w:cs="Arial"/>
          <w:color w:val="39373B"/>
          <w:sz w:val="24"/>
          <w:szCs w:val="24"/>
        </w:rPr>
        <w:t>arbutin</w:t>
      </w:r>
      <w:proofErr w:type="spellEnd"/>
      <w:r>
        <w:rPr>
          <w:rFonts w:ascii="Arial" w:eastAsia="Arial" w:hAnsi="Arial" w:cs="Arial"/>
          <w:color w:val="39373B"/>
          <w:sz w:val="24"/>
          <w:szCs w:val="24"/>
        </w:rPr>
        <w:t xml:space="preserve">; </w:t>
      </w:r>
      <w:proofErr w:type="spellStart"/>
      <w:r>
        <w:rPr>
          <w:rFonts w:ascii="Arial" w:eastAsia="Arial" w:hAnsi="Arial" w:cs="Arial"/>
          <w:color w:val="39373B"/>
          <w:sz w:val="24"/>
          <w:szCs w:val="24"/>
        </w:rPr>
        <w:t>cisteamina</w:t>
      </w:r>
      <w:proofErr w:type="spellEnd"/>
      <w:r>
        <w:rPr>
          <w:rFonts w:ascii="Arial" w:eastAsia="Arial" w:hAnsi="Arial" w:cs="Arial"/>
          <w:color w:val="39373B"/>
          <w:sz w:val="24"/>
          <w:szCs w:val="24"/>
        </w:rPr>
        <w:t xml:space="preserve">; FPS; </w:t>
      </w:r>
      <w:proofErr w:type="spellStart"/>
      <w:r>
        <w:rPr>
          <w:rFonts w:ascii="Arial" w:eastAsia="Arial" w:hAnsi="Arial" w:cs="Arial"/>
          <w:color w:val="39373B"/>
          <w:sz w:val="24"/>
          <w:szCs w:val="24"/>
        </w:rPr>
        <w:t>fotoestabilidade</w:t>
      </w:r>
      <w:proofErr w:type="spellEnd"/>
      <w:r>
        <w:rPr>
          <w:rFonts w:ascii="Arial" w:eastAsia="Arial" w:hAnsi="Arial" w:cs="Arial"/>
          <w:color w:val="39373B"/>
          <w:sz w:val="24"/>
          <w:szCs w:val="24"/>
        </w:rPr>
        <w:t>.</w:t>
      </w:r>
    </w:p>
    <w:sectPr w:rsidR="000C709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8396D" w14:textId="77777777" w:rsidR="005C475E" w:rsidRDefault="005C475E">
      <w:pPr>
        <w:spacing w:after="0" w:line="240" w:lineRule="auto"/>
      </w:pPr>
      <w:r>
        <w:separator/>
      </w:r>
    </w:p>
  </w:endnote>
  <w:endnote w:type="continuationSeparator" w:id="0">
    <w:p w14:paraId="35A88E7D" w14:textId="77777777" w:rsidR="005C475E" w:rsidRDefault="005C4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D211F" w14:textId="77777777" w:rsidR="000C7091" w:rsidRDefault="000C7091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FF8C8" w14:textId="77777777" w:rsidR="005C475E" w:rsidRDefault="005C475E">
      <w:pPr>
        <w:spacing w:after="0" w:line="240" w:lineRule="auto"/>
      </w:pPr>
      <w:r>
        <w:separator/>
      </w:r>
    </w:p>
  </w:footnote>
  <w:footnote w:type="continuationSeparator" w:id="0">
    <w:p w14:paraId="7423A3C4" w14:textId="77777777" w:rsidR="005C475E" w:rsidRDefault="005C475E">
      <w:pPr>
        <w:spacing w:after="0" w:line="240" w:lineRule="auto"/>
      </w:pPr>
      <w:r>
        <w:continuationSeparator/>
      </w:r>
    </w:p>
  </w:footnote>
  <w:footnote w:id="1">
    <w:p w14:paraId="08DCBF5C" w14:textId="77777777" w:rsidR="007F4969" w:rsidRDefault="007F4969" w:rsidP="007F4969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Alun</w:t>
      </w:r>
      <w:r>
        <w:rPr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 do curso de </w:t>
      </w:r>
      <w:r>
        <w:rPr>
          <w:sz w:val="20"/>
          <w:szCs w:val="20"/>
        </w:rPr>
        <w:t xml:space="preserve">Biomedicina, Bolsista PIBIC/CNPq, </w:t>
      </w:r>
      <w:hyperlink r:id="rId1" w:history="1">
        <w:r>
          <w:rPr>
            <w:rStyle w:val="Hyperlink"/>
            <w:color w:val="1155CC"/>
            <w:sz w:val="20"/>
            <w:szCs w:val="20"/>
          </w:rPr>
          <w:t>anabayer@rede.ulbra.br</w:t>
        </w:r>
      </w:hyperlink>
    </w:p>
  </w:footnote>
  <w:footnote w:id="2">
    <w:p w14:paraId="17A5F22F" w14:textId="77777777" w:rsidR="007F4969" w:rsidRDefault="007F4969" w:rsidP="007F4969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Doutoranda do curso do </w:t>
      </w:r>
      <w:proofErr w:type="spellStart"/>
      <w:r>
        <w:rPr>
          <w:sz w:val="20"/>
          <w:szCs w:val="20"/>
        </w:rPr>
        <w:t>PPGBioSaúde</w:t>
      </w:r>
      <w:proofErr w:type="spellEnd"/>
      <w:r>
        <w:rPr>
          <w:sz w:val="20"/>
          <w:szCs w:val="20"/>
        </w:rPr>
        <w:t xml:space="preserve">/ULBRA, </w:t>
      </w:r>
      <w:hyperlink r:id="rId2" w:history="1">
        <w:r>
          <w:rPr>
            <w:rStyle w:val="Hyperlink"/>
            <w:color w:val="1155CC"/>
            <w:sz w:val="20"/>
            <w:szCs w:val="20"/>
          </w:rPr>
          <w:t>nathalialehn@sou.faccat.br</w:t>
        </w:r>
      </w:hyperlink>
    </w:p>
    <w:p w14:paraId="5448ACAC" w14:textId="77777777" w:rsidR="007F4969" w:rsidRDefault="007F4969" w:rsidP="007F496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3 </w:t>
      </w:r>
      <w:r>
        <w:rPr>
          <w:color w:val="000000"/>
          <w:sz w:val="20"/>
          <w:szCs w:val="20"/>
        </w:rPr>
        <w:t xml:space="preserve">Orientador, </w:t>
      </w:r>
      <w:r>
        <w:rPr>
          <w:sz w:val="20"/>
          <w:szCs w:val="20"/>
        </w:rPr>
        <w:t xml:space="preserve">Professor do curso de Química e do </w:t>
      </w:r>
      <w:proofErr w:type="spellStart"/>
      <w:r>
        <w:rPr>
          <w:sz w:val="20"/>
          <w:szCs w:val="20"/>
        </w:rPr>
        <w:t>PPGBioSaúde</w:t>
      </w:r>
      <w:proofErr w:type="spellEnd"/>
      <w:r>
        <w:rPr>
          <w:sz w:val="20"/>
          <w:szCs w:val="20"/>
        </w:rPr>
        <w:t xml:space="preserve">/ULBRA, </w:t>
      </w:r>
      <w:hyperlink r:id="rId3" w:history="1">
        <w:r>
          <w:rPr>
            <w:rStyle w:val="Hyperlink"/>
            <w:color w:val="1155CC"/>
            <w:sz w:val="20"/>
            <w:szCs w:val="20"/>
          </w:rPr>
          <w:t>dione.correa@ulbra.br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AB3B1" w14:textId="77777777" w:rsidR="000C7091" w:rsidRDefault="00000000">
    <w:pPr>
      <w:spacing w:after="0" w:line="240" w:lineRule="auto"/>
      <w:jc w:val="center"/>
    </w:pPr>
    <w:r>
      <w:rPr>
        <w:noProof/>
      </w:rPr>
      <w:drawing>
        <wp:inline distT="114300" distB="114300" distL="114300" distR="114300" wp14:anchorId="3B27C448" wp14:editId="7FA1D12C">
          <wp:extent cx="5399730" cy="7747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9730" cy="774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91"/>
    <w:rsid w:val="000C7091"/>
    <w:rsid w:val="001C13F7"/>
    <w:rsid w:val="005C475E"/>
    <w:rsid w:val="007F4969"/>
    <w:rsid w:val="00E7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93B4"/>
  <w15:docId w15:val="{DBFD5583-6B87-4BD9-A94E-762C3911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semiHidden/>
    <w:unhideWhenUsed/>
    <w:rsid w:val="007F49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dione.correa@ulbra.br" TargetMode="External"/><Relationship Id="rId2" Type="http://schemas.openxmlformats.org/officeDocument/2006/relationships/hyperlink" Target="mailto:nathalialehn@sou.faccat.br" TargetMode="External"/><Relationship Id="rId1" Type="http://schemas.openxmlformats.org/officeDocument/2006/relationships/hyperlink" Target="mailto:anabayer@rede.ulbra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Ester Rieder</cp:lastModifiedBy>
  <cp:revision>2</cp:revision>
  <dcterms:created xsi:type="dcterms:W3CDTF">2023-11-02T22:32:00Z</dcterms:created>
  <dcterms:modified xsi:type="dcterms:W3CDTF">2023-11-02T22:32:00Z</dcterms:modified>
</cp:coreProperties>
</file>