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FC0" w:rsidRPr="003B2DB0" w:rsidRDefault="003B2DB0" w:rsidP="0054371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B2DB0">
        <w:rPr>
          <w:b/>
        </w:rPr>
        <w:t>A CONCORRÊNCIA NA LINHA SUCESSÓRIA E O REGIME DE COMUNHÃO PARCIAL DE BENS</w:t>
      </w:r>
      <w:r w:rsidR="00F65B14" w:rsidRPr="003B2DB0">
        <w:rPr>
          <w:b/>
          <w:bCs/>
          <w:color w:val="000000"/>
        </w:rPr>
        <w:t xml:space="preserve"> </w:t>
      </w:r>
    </w:p>
    <w:p w:rsidR="00B81529" w:rsidRPr="00E661FC" w:rsidRDefault="00B81529" w:rsidP="00B81529">
      <w:pPr>
        <w:autoSpaceDE w:val="0"/>
        <w:autoSpaceDN w:val="0"/>
        <w:adjustRightInd w:val="0"/>
        <w:jc w:val="right"/>
        <w:rPr>
          <w:bCs/>
          <w:color w:val="000000"/>
          <w:sz w:val="20"/>
        </w:rPr>
      </w:pPr>
    </w:p>
    <w:p w:rsidR="003B2DB0" w:rsidRPr="003B2DB0" w:rsidRDefault="003B2DB0" w:rsidP="003B2DB0">
      <w:pPr>
        <w:jc w:val="right"/>
        <w:rPr>
          <w:sz w:val="20"/>
          <w:szCs w:val="20"/>
        </w:rPr>
      </w:pPr>
      <w:proofErr w:type="spellStart"/>
      <w:r w:rsidRPr="003B2DB0">
        <w:rPr>
          <w:sz w:val="20"/>
          <w:szCs w:val="20"/>
        </w:rPr>
        <w:t>Cleverson</w:t>
      </w:r>
      <w:proofErr w:type="spellEnd"/>
      <w:r w:rsidRPr="003B2DB0">
        <w:rPr>
          <w:sz w:val="20"/>
          <w:szCs w:val="20"/>
        </w:rPr>
        <w:t xml:space="preserve"> Esteves da Silva</w:t>
      </w:r>
      <w:r w:rsidRPr="003B2DB0">
        <w:rPr>
          <w:rStyle w:val="Refdenotaderodap"/>
          <w:sz w:val="20"/>
          <w:szCs w:val="20"/>
        </w:rPr>
        <w:footnoteReference w:id="1"/>
      </w:r>
    </w:p>
    <w:p w:rsidR="003B2DB0" w:rsidRPr="003B2DB0" w:rsidRDefault="003B2DB0" w:rsidP="003B2DB0">
      <w:pPr>
        <w:jc w:val="right"/>
        <w:rPr>
          <w:sz w:val="20"/>
          <w:szCs w:val="20"/>
        </w:rPr>
      </w:pPr>
      <w:r w:rsidRPr="003B2DB0">
        <w:rPr>
          <w:sz w:val="20"/>
          <w:szCs w:val="20"/>
        </w:rPr>
        <w:t>Nelson Oliveira dos Santos</w:t>
      </w:r>
      <w:r w:rsidRPr="003B2DB0">
        <w:rPr>
          <w:rStyle w:val="Refdenotaderodap"/>
          <w:sz w:val="20"/>
          <w:szCs w:val="20"/>
        </w:rPr>
        <w:footnoteReference w:id="2"/>
      </w:r>
    </w:p>
    <w:p w:rsidR="003B2DB0" w:rsidRPr="003B2DB0" w:rsidRDefault="003B2DB0" w:rsidP="003B2DB0">
      <w:pPr>
        <w:jc w:val="right"/>
        <w:rPr>
          <w:sz w:val="20"/>
          <w:szCs w:val="20"/>
        </w:rPr>
      </w:pPr>
      <w:r w:rsidRPr="003B2DB0">
        <w:rPr>
          <w:sz w:val="20"/>
          <w:szCs w:val="20"/>
        </w:rPr>
        <w:t>Paulo Rogério dos Santos</w:t>
      </w:r>
      <w:r w:rsidRPr="003B2DB0">
        <w:rPr>
          <w:rStyle w:val="Refdenotaderodap"/>
          <w:sz w:val="20"/>
          <w:szCs w:val="20"/>
        </w:rPr>
        <w:footnoteReference w:id="3"/>
      </w:r>
    </w:p>
    <w:p w:rsidR="003B2DB0" w:rsidRPr="003B2DB0" w:rsidRDefault="003B2DB0" w:rsidP="003B2DB0">
      <w:pPr>
        <w:jc w:val="right"/>
        <w:rPr>
          <w:sz w:val="20"/>
          <w:szCs w:val="20"/>
        </w:rPr>
      </w:pPr>
      <w:proofErr w:type="spellStart"/>
      <w:r w:rsidRPr="003B2DB0">
        <w:rPr>
          <w:sz w:val="20"/>
          <w:szCs w:val="20"/>
        </w:rPr>
        <w:t>Thammy</w:t>
      </w:r>
      <w:proofErr w:type="spellEnd"/>
      <w:r w:rsidRPr="003B2DB0">
        <w:rPr>
          <w:sz w:val="20"/>
          <w:szCs w:val="20"/>
        </w:rPr>
        <w:t xml:space="preserve"> </w:t>
      </w:r>
      <w:proofErr w:type="spellStart"/>
      <w:r w:rsidRPr="003B2DB0">
        <w:rPr>
          <w:sz w:val="20"/>
          <w:szCs w:val="20"/>
        </w:rPr>
        <w:t>Carolline</w:t>
      </w:r>
      <w:proofErr w:type="spellEnd"/>
      <w:r w:rsidRPr="003B2DB0">
        <w:rPr>
          <w:sz w:val="20"/>
          <w:szCs w:val="20"/>
        </w:rPr>
        <w:t xml:space="preserve"> Resende Silva</w:t>
      </w:r>
      <w:r w:rsidRPr="003B2DB0">
        <w:rPr>
          <w:rStyle w:val="Refdenotaderodap"/>
          <w:sz w:val="20"/>
          <w:szCs w:val="20"/>
        </w:rPr>
        <w:footnoteReference w:id="4"/>
      </w:r>
    </w:p>
    <w:p w:rsidR="003B2DB0" w:rsidRPr="003B2DB0" w:rsidRDefault="003B2DB0" w:rsidP="003B2DB0">
      <w:pPr>
        <w:jc w:val="right"/>
        <w:rPr>
          <w:sz w:val="20"/>
          <w:szCs w:val="20"/>
        </w:rPr>
      </w:pPr>
      <w:r w:rsidRPr="003B2DB0">
        <w:rPr>
          <w:sz w:val="20"/>
          <w:szCs w:val="20"/>
        </w:rPr>
        <w:t>Newton Sérgio de Sá Vieira</w:t>
      </w:r>
      <w:r w:rsidRPr="003B2DB0">
        <w:rPr>
          <w:rStyle w:val="Refdenotaderodap"/>
          <w:sz w:val="20"/>
          <w:szCs w:val="20"/>
        </w:rPr>
        <w:footnoteReference w:id="5"/>
      </w:r>
    </w:p>
    <w:p w:rsidR="000430CE" w:rsidRPr="003B2DB0" w:rsidRDefault="000430CE" w:rsidP="00B81529">
      <w:pPr>
        <w:autoSpaceDE w:val="0"/>
        <w:autoSpaceDN w:val="0"/>
        <w:adjustRightInd w:val="0"/>
        <w:jc w:val="right"/>
        <w:rPr>
          <w:bCs/>
          <w:color w:val="000000"/>
          <w:sz w:val="20"/>
          <w:szCs w:val="20"/>
        </w:rPr>
      </w:pPr>
    </w:p>
    <w:p w:rsidR="00B81529" w:rsidRPr="00E661FC" w:rsidRDefault="00B81529" w:rsidP="00B81529">
      <w:pPr>
        <w:shd w:val="clear" w:color="auto" w:fill="FFFFFF"/>
        <w:tabs>
          <w:tab w:val="left" w:pos="8504"/>
        </w:tabs>
        <w:jc w:val="center"/>
        <w:outlineLvl w:val="3"/>
        <w:rPr>
          <w:rFonts w:cs="Arial"/>
          <w:sz w:val="12"/>
        </w:rPr>
      </w:pPr>
    </w:p>
    <w:p w:rsidR="00B81529" w:rsidRPr="003B2DB0" w:rsidRDefault="00AC4843" w:rsidP="001802D1">
      <w:pPr>
        <w:shd w:val="clear" w:color="auto" w:fill="FFFFFF"/>
        <w:tabs>
          <w:tab w:val="left" w:pos="8504"/>
        </w:tabs>
        <w:jc w:val="both"/>
        <w:outlineLvl w:val="3"/>
        <w:rPr>
          <w:rFonts w:cs="Arial"/>
          <w:sz w:val="22"/>
          <w:szCs w:val="16"/>
        </w:rPr>
      </w:pPr>
      <w:r w:rsidRPr="000550DF">
        <w:rPr>
          <w:rFonts w:cs="Arial"/>
          <w:b/>
          <w:sz w:val="22"/>
          <w:szCs w:val="16"/>
        </w:rPr>
        <w:t>Palavras chave:</w:t>
      </w:r>
      <w:r w:rsidRPr="000550DF">
        <w:rPr>
          <w:rFonts w:cs="Arial"/>
          <w:sz w:val="22"/>
          <w:szCs w:val="16"/>
        </w:rPr>
        <w:t xml:space="preserve"> </w:t>
      </w:r>
      <w:r w:rsidR="004107A3" w:rsidRPr="000550DF">
        <w:rPr>
          <w:rFonts w:cs="Arial"/>
          <w:sz w:val="22"/>
          <w:szCs w:val="16"/>
        </w:rPr>
        <w:t>comunhão de bens</w:t>
      </w:r>
      <w:r w:rsidRPr="000550DF">
        <w:rPr>
          <w:rFonts w:cs="Arial"/>
          <w:sz w:val="22"/>
          <w:szCs w:val="16"/>
        </w:rPr>
        <w:t xml:space="preserve">, </w:t>
      </w:r>
      <w:r w:rsidR="004107A3" w:rsidRPr="000550DF">
        <w:rPr>
          <w:rFonts w:cs="Arial"/>
          <w:sz w:val="22"/>
          <w:szCs w:val="16"/>
        </w:rPr>
        <w:t>sucessão</w:t>
      </w:r>
      <w:r w:rsidR="008A65CF" w:rsidRPr="000550DF">
        <w:rPr>
          <w:rFonts w:cs="Arial"/>
          <w:sz w:val="22"/>
          <w:szCs w:val="16"/>
        </w:rPr>
        <w:t xml:space="preserve">, </w:t>
      </w:r>
      <w:r w:rsidR="000550DF" w:rsidRPr="000550DF">
        <w:rPr>
          <w:rFonts w:cs="Arial"/>
          <w:sz w:val="22"/>
          <w:szCs w:val="16"/>
        </w:rPr>
        <w:t>cônjuge, companheiro</w:t>
      </w:r>
      <w:r w:rsidR="00AA0DD3" w:rsidRPr="000550DF">
        <w:rPr>
          <w:rFonts w:cs="Arial"/>
          <w:sz w:val="22"/>
          <w:szCs w:val="16"/>
        </w:rPr>
        <w:t>.</w:t>
      </w:r>
    </w:p>
    <w:p w:rsidR="008C7761" w:rsidRPr="003B2DB0" w:rsidRDefault="008C7761" w:rsidP="001802D1">
      <w:pPr>
        <w:autoSpaceDE w:val="0"/>
        <w:autoSpaceDN w:val="0"/>
        <w:adjustRightInd w:val="0"/>
        <w:jc w:val="both"/>
        <w:rPr>
          <w:bCs/>
          <w:color w:val="000000"/>
          <w:sz w:val="22"/>
        </w:rPr>
      </w:pPr>
    </w:p>
    <w:p w:rsidR="00551CDD" w:rsidRPr="003B2DB0" w:rsidRDefault="008C7761" w:rsidP="003B2DB0">
      <w:pPr>
        <w:widowControl w:val="0"/>
        <w:spacing w:after="120"/>
        <w:jc w:val="both"/>
        <w:rPr>
          <w:color w:val="000000"/>
          <w:sz w:val="22"/>
          <w:szCs w:val="22"/>
        </w:rPr>
      </w:pPr>
      <w:r w:rsidRPr="003B2DB0">
        <w:rPr>
          <w:b/>
          <w:bCs/>
          <w:color w:val="000000"/>
          <w:sz w:val="22"/>
        </w:rPr>
        <w:t>Introdução</w:t>
      </w:r>
      <w:r w:rsidR="00AF3DC8" w:rsidRPr="003B2DB0">
        <w:rPr>
          <w:b/>
          <w:bCs/>
          <w:color w:val="000000"/>
          <w:sz w:val="22"/>
        </w:rPr>
        <w:t xml:space="preserve">: </w:t>
      </w:r>
      <w:r w:rsidR="002B0CDF">
        <w:rPr>
          <w:sz w:val="22"/>
          <w:szCs w:val="22"/>
        </w:rPr>
        <w:t>Apesar de</w:t>
      </w:r>
      <w:r w:rsidR="008832D0">
        <w:rPr>
          <w:sz w:val="22"/>
          <w:szCs w:val="22"/>
        </w:rPr>
        <w:t xml:space="preserve"> a </w:t>
      </w:r>
      <w:r w:rsidR="008832D0" w:rsidRPr="003B2DB0">
        <w:rPr>
          <w:sz w:val="22"/>
          <w:szCs w:val="22"/>
        </w:rPr>
        <w:t>concorrência do cônjuge ou companheiro sobrevivente</w:t>
      </w:r>
      <w:r w:rsidR="008832D0">
        <w:rPr>
          <w:sz w:val="22"/>
          <w:szCs w:val="22"/>
        </w:rPr>
        <w:t xml:space="preserve"> na </w:t>
      </w:r>
      <w:r w:rsidR="008832D0" w:rsidRPr="003B2DB0">
        <w:rPr>
          <w:sz w:val="22"/>
          <w:szCs w:val="22"/>
        </w:rPr>
        <w:t xml:space="preserve">sucessão </w:t>
      </w:r>
      <w:r w:rsidR="008832D0" w:rsidRPr="003B2DB0">
        <w:rPr>
          <w:i/>
          <w:sz w:val="22"/>
          <w:szCs w:val="22"/>
        </w:rPr>
        <w:t>mortis causa</w:t>
      </w:r>
      <w:r w:rsidR="003B2DB0" w:rsidRPr="003B2DB0">
        <w:rPr>
          <w:sz w:val="22"/>
          <w:szCs w:val="22"/>
        </w:rPr>
        <w:t xml:space="preserve"> </w:t>
      </w:r>
      <w:r w:rsidR="000D3CF9">
        <w:rPr>
          <w:sz w:val="22"/>
          <w:szCs w:val="22"/>
        </w:rPr>
        <w:t>aparentar</w:t>
      </w:r>
      <w:r w:rsidR="003B2DB0" w:rsidRPr="003B2DB0">
        <w:rPr>
          <w:sz w:val="22"/>
          <w:szCs w:val="22"/>
        </w:rPr>
        <w:t xml:space="preserve"> simplicidade, a adequação de fatos concretos à norma, devido ao grande número de variáveis e situações fáticas, tem criado embates entre os herdeiros e demonstrado divergências de entendimentos até mesmo no âmbito dos Tribunais. </w:t>
      </w:r>
      <w:r w:rsidR="00AF3DC8" w:rsidRPr="003B2DB0">
        <w:rPr>
          <w:b/>
          <w:bCs/>
          <w:color w:val="000000"/>
          <w:sz w:val="22"/>
        </w:rPr>
        <w:t>Objetivos:</w:t>
      </w:r>
      <w:r w:rsidR="00AF3DC8" w:rsidRPr="003B2DB0">
        <w:rPr>
          <w:bCs/>
          <w:color w:val="000000"/>
          <w:sz w:val="22"/>
        </w:rPr>
        <w:t xml:space="preserve"> </w:t>
      </w:r>
      <w:r w:rsidR="00AF28C3">
        <w:rPr>
          <w:sz w:val="22"/>
          <w:szCs w:val="22"/>
        </w:rPr>
        <w:t>Diante de</w:t>
      </w:r>
      <w:r w:rsidR="003B2DB0" w:rsidRPr="003B2DB0">
        <w:rPr>
          <w:sz w:val="22"/>
          <w:szCs w:val="22"/>
        </w:rPr>
        <w:t xml:space="preserve">ssa divergência, o presente trabalho tem como objetivo analisar o instituto da concorrência sucessória, </w:t>
      </w:r>
      <w:r w:rsidR="00AF28C3">
        <w:rPr>
          <w:sz w:val="22"/>
          <w:szCs w:val="22"/>
        </w:rPr>
        <w:t>analisando</w:t>
      </w:r>
      <w:r w:rsidR="003B2DB0" w:rsidRPr="003B2DB0">
        <w:rPr>
          <w:sz w:val="22"/>
          <w:szCs w:val="22"/>
        </w:rPr>
        <w:t xml:space="preserve"> as peculiaridades relacionadas com os regimes matrimoniais ou com os direitos conferidos ao companheiro de uma união estável</w:t>
      </w:r>
      <w:r w:rsidR="00AF28C3">
        <w:rPr>
          <w:sz w:val="22"/>
          <w:szCs w:val="22"/>
        </w:rPr>
        <w:t xml:space="preserve"> e</w:t>
      </w:r>
      <w:r w:rsidR="003B2DB0" w:rsidRPr="003B2DB0">
        <w:rPr>
          <w:sz w:val="22"/>
          <w:szCs w:val="22"/>
        </w:rPr>
        <w:t xml:space="preserve"> buscando identificar as semelhanças e incongruências que levam ao impasse.</w:t>
      </w:r>
      <w:r w:rsidR="00AF3DC8" w:rsidRPr="003B2DB0">
        <w:rPr>
          <w:bCs/>
          <w:color w:val="000000"/>
          <w:sz w:val="22"/>
        </w:rPr>
        <w:t xml:space="preserve"> </w:t>
      </w:r>
      <w:r w:rsidR="00EC09B5" w:rsidRPr="003B2DB0">
        <w:rPr>
          <w:b/>
          <w:bCs/>
          <w:color w:val="000000"/>
          <w:sz w:val="22"/>
        </w:rPr>
        <w:t>Metodologia</w:t>
      </w:r>
      <w:r w:rsidR="00AF3DC8" w:rsidRPr="003B2DB0">
        <w:rPr>
          <w:b/>
          <w:bCs/>
          <w:color w:val="000000"/>
          <w:sz w:val="22"/>
        </w:rPr>
        <w:t>:</w:t>
      </w:r>
      <w:r w:rsidR="00EC09B5" w:rsidRPr="003B2DB0">
        <w:rPr>
          <w:bCs/>
          <w:color w:val="000000"/>
          <w:sz w:val="22"/>
        </w:rPr>
        <w:t xml:space="preserve"> </w:t>
      </w:r>
      <w:r w:rsidR="003B2DB0" w:rsidRPr="003B2DB0">
        <w:rPr>
          <w:sz w:val="22"/>
          <w:szCs w:val="22"/>
        </w:rPr>
        <w:t>Para realização do presente estudo empregou-se a metodologia de pesquisa exploratória com revisão bibliográfica de obras de doutrinadores civilistas brasileiros, correlacionando-as com os posicionamentos mais recentes dos Tribunais para verificar se existe entendimento pacificado entre doutrina e jurisprudência.</w:t>
      </w:r>
      <w:r w:rsidR="003C3143" w:rsidRPr="003B2DB0">
        <w:rPr>
          <w:color w:val="000000"/>
          <w:sz w:val="22"/>
        </w:rPr>
        <w:t xml:space="preserve"> </w:t>
      </w:r>
      <w:r w:rsidR="003C3143" w:rsidRPr="003B2DB0">
        <w:rPr>
          <w:b/>
          <w:color w:val="000000"/>
          <w:sz w:val="22"/>
        </w:rPr>
        <w:t>Resultados e Discussão</w:t>
      </w:r>
      <w:r w:rsidR="00AF3DC8" w:rsidRPr="003B2DB0">
        <w:rPr>
          <w:b/>
          <w:color w:val="000000"/>
          <w:sz w:val="22"/>
        </w:rPr>
        <w:t>:</w:t>
      </w:r>
      <w:r w:rsidR="00EC09B5" w:rsidRPr="003B2DB0">
        <w:rPr>
          <w:b/>
          <w:color w:val="000000"/>
          <w:sz w:val="22"/>
        </w:rPr>
        <w:t xml:space="preserve"> </w:t>
      </w:r>
      <w:r w:rsidR="003B2DB0" w:rsidRPr="003B2DB0">
        <w:rPr>
          <w:sz w:val="22"/>
          <w:szCs w:val="22"/>
        </w:rPr>
        <w:t xml:space="preserve">A sucessão </w:t>
      </w:r>
      <w:r w:rsidR="003B2DB0" w:rsidRPr="003B2DB0">
        <w:rPr>
          <w:i/>
          <w:sz w:val="22"/>
          <w:szCs w:val="22"/>
        </w:rPr>
        <w:t>mortis causa</w:t>
      </w:r>
      <w:r w:rsidR="003B2DB0" w:rsidRPr="003B2DB0">
        <w:rPr>
          <w:sz w:val="22"/>
          <w:szCs w:val="22"/>
        </w:rPr>
        <w:t xml:space="preserve"> corresponde à transmissão da herança do </w:t>
      </w:r>
      <w:r w:rsidR="003B2DB0" w:rsidRPr="003B2DB0">
        <w:rPr>
          <w:i/>
          <w:sz w:val="22"/>
          <w:szCs w:val="22"/>
        </w:rPr>
        <w:t>de cujus</w:t>
      </w:r>
      <w:r w:rsidR="003B2DB0" w:rsidRPr="003B2DB0">
        <w:rPr>
          <w:sz w:val="22"/>
          <w:szCs w:val="22"/>
        </w:rPr>
        <w:t xml:space="preserve"> aos seus herdeiros legítimos ou testamentários (art. 1.784 do CC)</w:t>
      </w:r>
      <w:r w:rsidR="00A44866">
        <w:rPr>
          <w:sz w:val="22"/>
          <w:szCs w:val="22"/>
        </w:rPr>
        <w:t xml:space="preserve">, sendo que os primeiros são chamados à sucessão quando não </w:t>
      </w:r>
      <w:r w:rsidR="003B2DB0" w:rsidRPr="003B2DB0">
        <w:rPr>
          <w:sz w:val="22"/>
          <w:szCs w:val="22"/>
        </w:rPr>
        <w:t xml:space="preserve">houver testamento ou este não </w:t>
      </w:r>
      <w:r w:rsidR="00A44866">
        <w:rPr>
          <w:sz w:val="22"/>
          <w:szCs w:val="22"/>
        </w:rPr>
        <w:t xml:space="preserve">for válido </w:t>
      </w:r>
      <w:r w:rsidR="003B2DB0" w:rsidRPr="003B2DB0">
        <w:rPr>
          <w:sz w:val="22"/>
          <w:szCs w:val="22"/>
        </w:rPr>
        <w:t xml:space="preserve">(VENOSA, 2007, p.8). </w:t>
      </w:r>
      <w:r w:rsidR="00A44866">
        <w:rPr>
          <w:sz w:val="22"/>
          <w:szCs w:val="22"/>
        </w:rPr>
        <w:t>Na</w:t>
      </w:r>
      <w:r w:rsidR="003B2DB0" w:rsidRPr="003B2DB0">
        <w:rPr>
          <w:sz w:val="22"/>
          <w:szCs w:val="22"/>
        </w:rPr>
        <w:t xml:space="preserve"> sucessão legítima o Código Civil de 2002 </w:t>
      </w:r>
      <w:r w:rsidR="00A44866">
        <w:rPr>
          <w:sz w:val="22"/>
          <w:szCs w:val="22"/>
        </w:rPr>
        <w:t xml:space="preserve">(art. </w:t>
      </w:r>
      <w:r w:rsidR="00A44866" w:rsidRPr="003B2DB0">
        <w:rPr>
          <w:sz w:val="22"/>
          <w:szCs w:val="22"/>
        </w:rPr>
        <w:t xml:space="preserve">1.829 </w:t>
      </w:r>
      <w:r w:rsidR="00A44866">
        <w:rPr>
          <w:sz w:val="22"/>
          <w:szCs w:val="22"/>
        </w:rPr>
        <w:t>do CC) passou a prever</w:t>
      </w:r>
      <w:r w:rsidR="003B2DB0" w:rsidRPr="003B2DB0">
        <w:rPr>
          <w:sz w:val="22"/>
          <w:szCs w:val="22"/>
        </w:rPr>
        <w:t xml:space="preserve"> a figura da concorrência sucessória</w:t>
      </w:r>
      <w:r w:rsidR="00A44866">
        <w:rPr>
          <w:sz w:val="22"/>
          <w:szCs w:val="22"/>
        </w:rPr>
        <w:t xml:space="preserve"> com o cônjuge, já que no </w:t>
      </w:r>
      <w:r w:rsidR="003B2DB0" w:rsidRPr="003B2DB0">
        <w:rPr>
          <w:sz w:val="22"/>
          <w:szCs w:val="22"/>
        </w:rPr>
        <w:t xml:space="preserve">Código Civil de 1916 o cônjuge sobrevivente possuía direito à herança somente </w:t>
      </w:r>
      <w:r w:rsidR="00D53063">
        <w:rPr>
          <w:sz w:val="22"/>
          <w:szCs w:val="22"/>
        </w:rPr>
        <w:t>de forma suplementar</w:t>
      </w:r>
      <w:r w:rsidR="003B2DB0" w:rsidRPr="003B2DB0">
        <w:rPr>
          <w:sz w:val="22"/>
          <w:szCs w:val="22"/>
        </w:rPr>
        <w:t xml:space="preserve">. </w:t>
      </w:r>
      <w:r w:rsidR="001B4B1A">
        <w:rPr>
          <w:sz w:val="22"/>
          <w:szCs w:val="22"/>
        </w:rPr>
        <w:t>A</w:t>
      </w:r>
      <w:r w:rsidR="003B2DB0" w:rsidRPr="003B2DB0">
        <w:rPr>
          <w:sz w:val="22"/>
          <w:szCs w:val="22"/>
        </w:rPr>
        <w:t xml:space="preserve"> parte final do art. 1.829 do CC, segundo </w:t>
      </w:r>
      <w:proofErr w:type="spellStart"/>
      <w:r w:rsidR="003B2DB0" w:rsidRPr="003B2DB0">
        <w:rPr>
          <w:sz w:val="22"/>
          <w:szCs w:val="22"/>
        </w:rPr>
        <w:t>Tartuce</w:t>
      </w:r>
      <w:proofErr w:type="spellEnd"/>
      <w:r w:rsidR="003B2DB0" w:rsidRPr="003B2DB0">
        <w:rPr>
          <w:sz w:val="22"/>
          <w:szCs w:val="22"/>
        </w:rPr>
        <w:t xml:space="preserve"> (2015a, p.170)</w:t>
      </w:r>
      <w:proofErr w:type="gramStart"/>
      <w:r w:rsidR="003B2DB0" w:rsidRPr="003B2DB0">
        <w:rPr>
          <w:sz w:val="22"/>
          <w:szCs w:val="22"/>
        </w:rPr>
        <w:t xml:space="preserve">, </w:t>
      </w:r>
      <w:r w:rsidR="005D1027">
        <w:rPr>
          <w:sz w:val="22"/>
          <w:szCs w:val="22"/>
        </w:rPr>
        <w:t>gerou</w:t>
      </w:r>
      <w:proofErr w:type="gramEnd"/>
      <w:r w:rsidR="005D1027">
        <w:rPr>
          <w:sz w:val="22"/>
          <w:szCs w:val="22"/>
        </w:rPr>
        <w:t xml:space="preserve"> dúvidas </w:t>
      </w:r>
      <w:r w:rsidR="003B2DB0" w:rsidRPr="003B2DB0">
        <w:rPr>
          <w:sz w:val="22"/>
          <w:szCs w:val="22"/>
        </w:rPr>
        <w:t>se a concorrência incidiria sobre toda a herança</w:t>
      </w:r>
      <w:r w:rsidR="005D1027">
        <w:rPr>
          <w:sz w:val="22"/>
          <w:szCs w:val="22"/>
        </w:rPr>
        <w:t xml:space="preserve"> ou somente sobre </w:t>
      </w:r>
      <w:r w:rsidR="0045030B">
        <w:rPr>
          <w:sz w:val="22"/>
          <w:szCs w:val="22"/>
        </w:rPr>
        <w:t xml:space="preserve">os </w:t>
      </w:r>
      <w:r w:rsidR="00AF28C3">
        <w:rPr>
          <w:sz w:val="22"/>
          <w:szCs w:val="22"/>
        </w:rPr>
        <w:t xml:space="preserve">bens </w:t>
      </w:r>
      <w:r w:rsidR="0045030B">
        <w:rPr>
          <w:sz w:val="22"/>
          <w:szCs w:val="22"/>
        </w:rPr>
        <w:t>havidos antes da união ou casamento</w:t>
      </w:r>
      <w:r w:rsidR="003B2DB0" w:rsidRPr="003B2DB0">
        <w:rPr>
          <w:sz w:val="22"/>
          <w:szCs w:val="22"/>
        </w:rPr>
        <w:t xml:space="preserve">. Diante de tal celeuma, o STF uniformizou o entendimento divergente existente entre a 3ª e 4ª Turmas, pacificando que “o cônjuge sobrevivente, casado sob o regime da comunhão parcial de bens, concorre com os descendentes na herança do morto apenas em relação aos bens particulares </w:t>
      </w:r>
      <w:r w:rsidR="001B4B1A">
        <w:rPr>
          <w:sz w:val="22"/>
          <w:szCs w:val="22"/>
        </w:rPr>
        <w:t>deixados”</w:t>
      </w:r>
      <w:r w:rsidR="003B2DB0" w:rsidRPr="003B2DB0">
        <w:rPr>
          <w:sz w:val="22"/>
          <w:szCs w:val="22"/>
        </w:rPr>
        <w:t xml:space="preserve">. </w:t>
      </w:r>
      <w:r w:rsidR="00AA24E3" w:rsidRPr="003B2DB0">
        <w:rPr>
          <w:sz w:val="22"/>
          <w:szCs w:val="22"/>
        </w:rPr>
        <w:t xml:space="preserve">Embora o dispositivo faça menção à palavra “cônjuge”, o art. 226, §3º da Constituição Federal reconhece como entidade familiar também a união estável. Além </w:t>
      </w:r>
      <w:r w:rsidR="00C0463E">
        <w:rPr>
          <w:sz w:val="22"/>
          <w:szCs w:val="22"/>
        </w:rPr>
        <w:t>disso</w:t>
      </w:r>
      <w:r w:rsidR="00AA24E3" w:rsidRPr="003B2DB0">
        <w:rPr>
          <w:sz w:val="22"/>
          <w:szCs w:val="22"/>
        </w:rPr>
        <w:t xml:space="preserve">, a Resolução nº 175/2013 do CNJ passou a vedar </w:t>
      </w:r>
      <w:r w:rsidR="002C09D7">
        <w:rPr>
          <w:sz w:val="22"/>
          <w:szCs w:val="22"/>
        </w:rPr>
        <w:t>a recusa</w:t>
      </w:r>
      <w:r w:rsidR="00AA24E3" w:rsidRPr="003B2DB0">
        <w:rPr>
          <w:sz w:val="22"/>
          <w:szCs w:val="22"/>
        </w:rPr>
        <w:t xml:space="preserve"> </w:t>
      </w:r>
      <w:r w:rsidR="002C09D7">
        <w:rPr>
          <w:sz w:val="22"/>
          <w:szCs w:val="22"/>
        </w:rPr>
        <w:t>d</w:t>
      </w:r>
      <w:r w:rsidR="00AA24E3" w:rsidRPr="003B2DB0">
        <w:rPr>
          <w:sz w:val="22"/>
          <w:szCs w:val="22"/>
        </w:rPr>
        <w:t xml:space="preserve">a habilitação e celebração de casamento civil </w:t>
      </w:r>
      <w:r w:rsidR="002C09D7">
        <w:rPr>
          <w:sz w:val="22"/>
          <w:szCs w:val="22"/>
        </w:rPr>
        <w:t>e</w:t>
      </w:r>
      <w:r w:rsidR="00AA24E3" w:rsidRPr="003B2DB0">
        <w:rPr>
          <w:sz w:val="22"/>
          <w:szCs w:val="22"/>
        </w:rPr>
        <w:t xml:space="preserve"> </w:t>
      </w:r>
      <w:r w:rsidR="002C09D7">
        <w:rPr>
          <w:sz w:val="22"/>
          <w:szCs w:val="22"/>
        </w:rPr>
        <w:t>d</w:t>
      </w:r>
      <w:r w:rsidR="00AA24E3" w:rsidRPr="003B2DB0">
        <w:rPr>
          <w:sz w:val="22"/>
          <w:szCs w:val="22"/>
        </w:rPr>
        <w:t xml:space="preserve">o reconhecimento da união estável entre pessoas do mesmo sexo. </w:t>
      </w:r>
      <w:r w:rsidR="001B4B1A">
        <w:rPr>
          <w:sz w:val="22"/>
          <w:szCs w:val="22"/>
        </w:rPr>
        <w:t xml:space="preserve">Com a declaração da inconstitucionalidade do </w:t>
      </w:r>
      <w:r w:rsidR="001B4B1A" w:rsidRPr="003B2DB0">
        <w:rPr>
          <w:sz w:val="22"/>
          <w:szCs w:val="22"/>
        </w:rPr>
        <w:t xml:space="preserve">art. 1.790 do CC </w:t>
      </w:r>
      <w:r w:rsidR="001B4B1A">
        <w:rPr>
          <w:sz w:val="22"/>
          <w:szCs w:val="22"/>
        </w:rPr>
        <w:t xml:space="preserve">pelo STF no julgamento do </w:t>
      </w:r>
      <w:r w:rsidR="001B4B1A" w:rsidRPr="003B2DB0">
        <w:rPr>
          <w:sz w:val="22"/>
          <w:szCs w:val="22"/>
        </w:rPr>
        <w:t>Recurso Extraordinário 878694</w:t>
      </w:r>
      <w:r w:rsidR="001B4B1A">
        <w:rPr>
          <w:sz w:val="22"/>
          <w:szCs w:val="22"/>
        </w:rPr>
        <w:t xml:space="preserve">, </w:t>
      </w:r>
      <w:r w:rsidR="00AF28C3">
        <w:rPr>
          <w:sz w:val="22"/>
          <w:szCs w:val="22"/>
        </w:rPr>
        <w:t xml:space="preserve">a discrepância de tratamento entre </w:t>
      </w:r>
      <w:r w:rsidR="001B4B1A" w:rsidRPr="003B2DB0">
        <w:rPr>
          <w:color w:val="222222"/>
          <w:sz w:val="22"/>
          <w:szCs w:val="22"/>
        </w:rPr>
        <w:t>os cônjuges e os companheiros</w:t>
      </w:r>
      <w:r w:rsidR="00A52B73">
        <w:rPr>
          <w:color w:val="222222"/>
          <w:sz w:val="22"/>
          <w:szCs w:val="22"/>
        </w:rPr>
        <w:t>,</w:t>
      </w:r>
      <w:r w:rsidR="001B4B1A">
        <w:rPr>
          <w:color w:val="222222"/>
          <w:sz w:val="22"/>
          <w:szCs w:val="22"/>
        </w:rPr>
        <w:t xml:space="preserve"> </w:t>
      </w:r>
      <w:r w:rsidR="00AF28C3">
        <w:rPr>
          <w:color w:val="222222"/>
          <w:sz w:val="22"/>
          <w:szCs w:val="22"/>
        </w:rPr>
        <w:t>que alimentava tal impasse</w:t>
      </w:r>
      <w:r w:rsidR="00A52B73">
        <w:rPr>
          <w:color w:val="222222"/>
          <w:sz w:val="22"/>
          <w:szCs w:val="22"/>
        </w:rPr>
        <w:t>,</w:t>
      </w:r>
      <w:r w:rsidR="00AF28C3">
        <w:rPr>
          <w:color w:val="222222"/>
          <w:sz w:val="22"/>
          <w:szCs w:val="22"/>
        </w:rPr>
        <w:t xml:space="preserve"> foi sanada</w:t>
      </w:r>
      <w:r w:rsidR="001B4B1A">
        <w:rPr>
          <w:color w:val="222222"/>
          <w:sz w:val="22"/>
          <w:szCs w:val="22"/>
        </w:rPr>
        <w:t xml:space="preserve">. </w:t>
      </w:r>
      <w:r w:rsidR="00F65B14" w:rsidRPr="003B2DB0">
        <w:rPr>
          <w:b/>
          <w:color w:val="000000"/>
          <w:sz w:val="22"/>
        </w:rPr>
        <w:t>Conclusão</w:t>
      </w:r>
      <w:r w:rsidR="009B759C" w:rsidRPr="003B2DB0">
        <w:rPr>
          <w:b/>
          <w:color w:val="000000"/>
          <w:sz w:val="22"/>
        </w:rPr>
        <w:t xml:space="preserve"> ou considerações </w:t>
      </w:r>
      <w:r w:rsidR="001A29F5" w:rsidRPr="003B2DB0">
        <w:rPr>
          <w:b/>
          <w:color w:val="000000"/>
          <w:sz w:val="22"/>
        </w:rPr>
        <w:t>Finais</w:t>
      </w:r>
      <w:r w:rsidR="00551CDD" w:rsidRPr="003B2DB0">
        <w:rPr>
          <w:b/>
          <w:color w:val="000000"/>
          <w:sz w:val="22"/>
        </w:rPr>
        <w:t xml:space="preserve">: </w:t>
      </w:r>
      <w:r w:rsidR="003B2DB0" w:rsidRPr="003B2DB0">
        <w:rPr>
          <w:sz w:val="22"/>
          <w:szCs w:val="22"/>
        </w:rPr>
        <w:t xml:space="preserve">Apesar das alterações significativas no Direito Civil brasileiro trazidas pelo Código Civil de 2002, a redação da parte final do art. 1.829 do CC provocou decisões divergentes até mesmo no âmbito da 3ª e 4ª Turmas do STF, provocando a uniformização da jurisprudência daquela Corte. </w:t>
      </w:r>
      <w:r w:rsidR="009A3C69">
        <w:rPr>
          <w:sz w:val="22"/>
          <w:szCs w:val="22"/>
        </w:rPr>
        <w:t xml:space="preserve">Com a declaração da inconstitucionalidade do art. 1.790 do CC, que previa tratamento </w:t>
      </w:r>
      <w:r w:rsidR="008D4A91">
        <w:rPr>
          <w:sz w:val="22"/>
          <w:szCs w:val="22"/>
        </w:rPr>
        <w:t>diferenciado</w:t>
      </w:r>
      <w:r w:rsidR="009A3C69">
        <w:rPr>
          <w:sz w:val="22"/>
          <w:szCs w:val="22"/>
        </w:rPr>
        <w:t xml:space="preserve"> aos companheiros que aos cônjuges, não há dúvidas de que o entendimento atual daquela Corte é que tanto cônjuge quanto companheiro sobrevivente </w:t>
      </w:r>
      <w:r w:rsidR="009A3C69" w:rsidRPr="003B2DB0">
        <w:rPr>
          <w:sz w:val="22"/>
          <w:szCs w:val="22"/>
        </w:rPr>
        <w:t>não fazem jus à concorrência sucessória dos bens comunicáveis</w:t>
      </w:r>
      <w:r w:rsidR="00AF28C3">
        <w:rPr>
          <w:sz w:val="22"/>
          <w:szCs w:val="22"/>
        </w:rPr>
        <w:t xml:space="preserve"> havidos após o casamento ou união estável</w:t>
      </w:r>
      <w:r w:rsidR="003B2DB0" w:rsidRPr="003B2DB0">
        <w:rPr>
          <w:sz w:val="22"/>
          <w:szCs w:val="22"/>
        </w:rPr>
        <w:t xml:space="preserve">. </w:t>
      </w:r>
    </w:p>
    <w:p w:rsidR="009B759C" w:rsidRPr="00E661FC" w:rsidRDefault="009B759C" w:rsidP="00AF3DC8">
      <w:pPr>
        <w:autoSpaceDE w:val="0"/>
        <w:autoSpaceDN w:val="0"/>
        <w:adjustRightInd w:val="0"/>
        <w:jc w:val="both"/>
        <w:rPr>
          <w:color w:val="000000"/>
          <w:sz w:val="14"/>
        </w:rPr>
      </w:pPr>
    </w:p>
    <w:p w:rsidR="009B759C" w:rsidRPr="003B2DB0" w:rsidRDefault="009B759C" w:rsidP="003B2DB0">
      <w:pPr>
        <w:widowControl w:val="0"/>
        <w:tabs>
          <w:tab w:val="left" w:pos="426"/>
        </w:tabs>
        <w:spacing w:after="120"/>
        <w:jc w:val="both"/>
        <w:rPr>
          <w:color w:val="000000"/>
          <w:sz w:val="22"/>
          <w:szCs w:val="22"/>
        </w:rPr>
      </w:pPr>
      <w:r w:rsidRPr="003B2DB0">
        <w:rPr>
          <w:b/>
          <w:color w:val="000000"/>
          <w:sz w:val="22"/>
        </w:rPr>
        <w:t xml:space="preserve">Bibliografia </w:t>
      </w:r>
      <w:r w:rsidR="003B2DB0" w:rsidRPr="003B2DB0">
        <w:rPr>
          <w:sz w:val="22"/>
          <w:szCs w:val="22"/>
        </w:rPr>
        <w:t xml:space="preserve">TARTUCE, Flávio. Direito Civil </w:t>
      </w:r>
      <w:proofErr w:type="gramStart"/>
      <w:r w:rsidR="003B2DB0" w:rsidRPr="003B2DB0">
        <w:rPr>
          <w:sz w:val="22"/>
          <w:szCs w:val="22"/>
        </w:rPr>
        <w:t>6</w:t>
      </w:r>
      <w:proofErr w:type="gramEnd"/>
      <w:r w:rsidR="003B2DB0" w:rsidRPr="003B2DB0">
        <w:rPr>
          <w:sz w:val="22"/>
          <w:szCs w:val="22"/>
        </w:rPr>
        <w:t xml:space="preserve">: Direito das Sucessões. </w:t>
      </w:r>
      <w:proofErr w:type="gramStart"/>
      <w:r w:rsidR="003B2DB0" w:rsidRPr="003B2DB0">
        <w:rPr>
          <w:sz w:val="22"/>
          <w:szCs w:val="22"/>
        </w:rPr>
        <w:t>8.</w:t>
      </w:r>
      <w:proofErr w:type="gramEnd"/>
      <w:r w:rsidR="003B2DB0" w:rsidRPr="003B2DB0">
        <w:rPr>
          <w:sz w:val="22"/>
          <w:szCs w:val="22"/>
        </w:rPr>
        <w:t xml:space="preserve">ed. São Paulo: Método, 2015a; TARTUCE, Flávio. Direito Civil </w:t>
      </w:r>
      <w:proofErr w:type="gramStart"/>
      <w:r w:rsidR="003B2DB0" w:rsidRPr="003B2DB0">
        <w:rPr>
          <w:sz w:val="22"/>
          <w:szCs w:val="22"/>
        </w:rPr>
        <w:t>5</w:t>
      </w:r>
      <w:proofErr w:type="gramEnd"/>
      <w:r w:rsidR="003B2DB0" w:rsidRPr="003B2DB0">
        <w:rPr>
          <w:sz w:val="22"/>
          <w:szCs w:val="22"/>
        </w:rPr>
        <w:t xml:space="preserve">: Direito das Família. </w:t>
      </w:r>
      <w:proofErr w:type="gramStart"/>
      <w:r w:rsidR="003B2DB0" w:rsidRPr="003B2DB0">
        <w:rPr>
          <w:sz w:val="22"/>
          <w:szCs w:val="22"/>
        </w:rPr>
        <w:t>10.</w:t>
      </w:r>
      <w:proofErr w:type="gramEnd"/>
      <w:r w:rsidR="003B2DB0" w:rsidRPr="003B2DB0">
        <w:rPr>
          <w:sz w:val="22"/>
          <w:szCs w:val="22"/>
        </w:rPr>
        <w:t xml:space="preserve">ed. São Paulo: Método, 2015a; VENOSA, Sílvio de Salvo. Direito Civil: Direito das Sucessões. </w:t>
      </w:r>
      <w:proofErr w:type="gramStart"/>
      <w:r w:rsidR="003B2DB0" w:rsidRPr="003B2DB0">
        <w:rPr>
          <w:sz w:val="22"/>
          <w:szCs w:val="22"/>
        </w:rPr>
        <w:t>7.</w:t>
      </w:r>
      <w:proofErr w:type="gramEnd"/>
      <w:r w:rsidR="003B2DB0" w:rsidRPr="003B2DB0">
        <w:rPr>
          <w:sz w:val="22"/>
          <w:szCs w:val="22"/>
        </w:rPr>
        <w:t>ed. São Paulo: Atlas, 2007; CONJUR. STJ uniformiza entendimento sobre herança em comunhão parcial de bens. 2015, Disponível em: http://www.conjur.com.br/ 2015-mai-26/</w:t>
      </w:r>
      <w:proofErr w:type="gramStart"/>
      <w:r w:rsidR="003B2DB0" w:rsidRPr="003B2DB0">
        <w:rPr>
          <w:sz w:val="22"/>
          <w:szCs w:val="22"/>
        </w:rPr>
        <w:t>stj</w:t>
      </w:r>
      <w:proofErr w:type="gramEnd"/>
      <w:r w:rsidR="003B2DB0" w:rsidRPr="003B2DB0">
        <w:rPr>
          <w:sz w:val="22"/>
          <w:szCs w:val="22"/>
        </w:rPr>
        <w:t>-uniformiza-entendimento-heranca-comunhao-parcial-bens. Acessado em: 21 de março de 2017</w:t>
      </w:r>
      <w:r w:rsidR="00C84FF1" w:rsidRPr="003B2DB0">
        <w:rPr>
          <w:color w:val="000000"/>
          <w:sz w:val="22"/>
          <w:szCs w:val="22"/>
        </w:rPr>
        <w:t xml:space="preserve">. </w:t>
      </w:r>
    </w:p>
    <w:sectPr w:rsidR="009B759C" w:rsidRPr="003B2DB0" w:rsidSect="00E661FC">
      <w:headerReference w:type="default" r:id="rId8"/>
      <w:pgSz w:w="11906" w:h="16838"/>
      <w:pgMar w:top="1134" w:right="1134" w:bottom="851" w:left="1134" w:header="0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765" w:rsidRDefault="00281765" w:rsidP="008C7761">
      <w:r>
        <w:separator/>
      </w:r>
    </w:p>
  </w:endnote>
  <w:endnote w:type="continuationSeparator" w:id="0">
    <w:p w:rsidR="00281765" w:rsidRDefault="00281765" w:rsidP="008C7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765" w:rsidRDefault="00281765" w:rsidP="008C7761">
      <w:r>
        <w:separator/>
      </w:r>
    </w:p>
  </w:footnote>
  <w:footnote w:type="continuationSeparator" w:id="0">
    <w:p w:rsidR="00281765" w:rsidRDefault="00281765" w:rsidP="008C7761">
      <w:r>
        <w:continuationSeparator/>
      </w:r>
    </w:p>
  </w:footnote>
  <w:footnote w:id="1">
    <w:p w:rsidR="003B2DB0" w:rsidRPr="003B2DB0" w:rsidRDefault="003B2DB0" w:rsidP="003B2DB0">
      <w:pPr>
        <w:pStyle w:val="Textodenotaderodap"/>
        <w:rPr>
          <w:sz w:val="18"/>
          <w:szCs w:val="18"/>
        </w:rPr>
      </w:pPr>
      <w:r w:rsidRPr="003B2DB0">
        <w:rPr>
          <w:rStyle w:val="Refdenotaderodap"/>
          <w:sz w:val="18"/>
          <w:szCs w:val="18"/>
        </w:rPr>
        <w:footnoteRef/>
      </w:r>
      <w:r w:rsidRPr="003B2DB0">
        <w:rPr>
          <w:sz w:val="18"/>
          <w:szCs w:val="18"/>
        </w:rPr>
        <w:t xml:space="preserve"> Acadêmico do </w:t>
      </w:r>
      <w:r>
        <w:rPr>
          <w:sz w:val="18"/>
          <w:szCs w:val="18"/>
        </w:rPr>
        <w:t>10</w:t>
      </w:r>
      <w:r w:rsidRPr="003B2DB0">
        <w:rPr>
          <w:sz w:val="18"/>
          <w:szCs w:val="18"/>
        </w:rPr>
        <w:t xml:space="preserve">º período do Curso de Direito do </w:t>
      </w:r>
      <w:proofErr w:type="spellStart"/>
      <w:r w:rsidRPr="003B2DB0">
        <w:rPr>
          <w:sz w:val="18"/>
          <w:szCs w:val="18"/>
        </w:rPr>
        <w:t>Ceulji</w:t>
      </w:r>
      <w:proofErr w:type="spellEnd"/>
      <w:r w:rsidRPr="003B2DB0">
        <w:rPr>
          <w:sz w:val="18"/>
          <w:szCs w:val="18"/>
        </w:rPr>
        <w:t>/Ulbra. E-mail: clevesteves@hotmail.com</w:t>
      </w:r>
    </w:p>
  </w:footnote>
  <w:footnote w:id="2">
    <w:p w:rsidR="003B2DB0" w:rsidRPr="003B2DB0" w:rsidRDefault="003B2DB0" w:rsidP="003B2DB0">
      <w:pPr>
        <w:pStyle w:val="Textodenotaderodap"/>
        <w:rPr>
          <w:sz w:val="18"/>
          <w:szCs w:val="18"/>
        </w:rPr>
      </w:pPr>
      <w:r w:rsidRPr="003B2DB0">
        <w:rPr>
          <w:rStyle w:val="Refdenotaderodap"/>
          <w:sz w:val="18"/>
          <w:szCs w:val="18"/>
        </w:rPr>
        <w:footnoteRef/>
      </w:r>
      <w:r w:rsidRPr="003B2DB0">
        <w:rPr>
          <w:sz w:val="18"/>
          <w:szCs w:val="18"/>
        </w:rPr>
        <w:t xml:space="preserve"> Acadêmico do </w:t>
      </w:r>
      <w:r>
        <w:rPr>
          <w:sz w:val="18"/>
          <w:szCs w:val="18"/>
        </w:rPr>
        <w:t>9</w:t>
      </w:r>
      <w:r w:rsidRPr="003B2DB0">
        <w:rPr>
          <w:sz w:val="18"/>
          <w:szCs w:val="18"/>
        </w:rPr>
        <w:t xml:space="preserve">º período do Curso de Direito do </w:t>
      </w:r>
      <w:proofErr w:type="spellStart"/>
      <w:r w:rsidRPr="003B2DB0">
        <w:rPr>
          <w:sz w:val="18"/>
          <w:szCs w:val="18"/>
        </w:rPr>
        <w:t>Ceulji</w:t>
      </w:r>
      <w:proofErr w:type="spellEnd"/>
      <w:r w:rsidRPr="003B2DB0">
        <w:rPr>
          <w:sz w:val="18"/>
          <w:szCs w:val="18"/>
        </w:rPr>
        <w:t>/Ulbra. E-mail: nelsonos@bol.com.br</w:t>
      </w:r>
    </w:p>
  </w:footnote>
  <w:footnote w:id="3">
    <w:p w:rsidR="003B2DB0" w:rsidRPr="003B2DB0" w:rsidRDefault="003B2DB0" w:rsidP="003B2DB0">
      <w:pPr>
        <w:pStyle w:val="Textodenotaderodap"/>
        <w:rPr>
          <w:sz w:val="18"/>
          <w:szCs w:val="18"/>
        </w:rPr>
      </w:pPr>
      <w:r w:rsidRPr="003B2DB0">
        <w:rPr>
          <w:rStyle w:val="Refdenotaderodap"/>
          <w:sz w:val="18"/>
          <w:szCs w:val="18"/>
        </w:rPr>
        <w:footnoteRef/>
      </w:r>
      <w:r w:rsidRPr="003B2DB0">
        <w:rPr>
          <w:sz w:val="18"/>
          <w:szCs w:val="18"/>
        </w:rPr>
        <w:t xml:space="preserve"> Acadêmico do </w:t>
      </w:r>
      <w:r>
        <w:rPr>
          <w:sz w:val="18"/>
          <w:szCs w:val="18"/>
        </w:rPr>
        <w:t>10</w:t>
      </w:r>
      <w:r w:rsidRPr="003B2DB0">
        <w:rPr>
          <w:sz w:val="18"/>
          <w:szCs w:val="18"/>
        </w:rPr>
        <w:t xml:space="preserve">º período do Curso de Direito do </w:t>
      </w:r>
      <w:proofErr w:type="spellStart"/>
      <w:r w:rsidRPr="003B2DB0">
        <w:rPr>
          <w:sz w:val="18"/>
          <w:szCs w:val="18"/>
        </w:rPr>
        <w:t>Ceulji</w:t>
      </w:r>
      <w:proofErr w:type="spellEnd"/>
      <w:r w:rsidRPr="003B2DB0">
        <w:rPr>
          <w:sz w:val="18"/>
          <w:szCs w:val="18"/>
        </w:rPr>
        <w:t>/Ulbra. E-mail: pauloroger27@hotmail.com</w:t>
      </w:r>
    </w:p>
  </w:footnote>
  <w:footnote w:id="4">
    <w:p w:rsidR="003B2DB0" w:rsidRPr="003B2DB0" w:rsidRDefault="003B2DB0" w:rsidP="003B2DB0">
      <w:pPr>
        <w:pStyle w:val="Textodenotaderodap"/>
        <w:rPr>
          <w:sz w:val="18"/>
          <w:szCs w:val="18"/>
        </w:rPr>
      </w:pPr>
      <w:r w:rsidRPr="003B2DB0">
        <w:rPr>
          <w:rStyle w:val="Refdenotaderodap"/>
          <w:sz w:val="18"/>
          <w:szCs w:val="18"/>
        </w:rPr>
        <w:footnoteRef/>
      </w:r>
      <w:r w:rsidRPr="003B2DB0">
        <w:rPr>
          <w:sz w:val="18"/>
          <w:szCs w:val="18"/>
        </w:rPr>
        <w:t xml:space="preserve"> Acadêmica do </w:t>
      </w:r>
      <w:r>
        <w:rPr>
          <w:sz w:val="18"/>
          <w:szCs w:val="18"/>
        </w:rPr>
        <w:t>10</w:t>
      </w:r>
      <w:r w:rsidRPr="003B2DB0">
        <w:rPr>
          <w:sz w:val="18"/>
          <w:szCs w:val="18"/>
        </w:rPr>
        <w:t xml:space="preserve">º período do Curso de Direito do </w:t>
      </w:r>
      <w:proofErr w:type="spellStart"/>
      <w:r w:rsidRPr="003B2DB0">
        <w:rPr>
          <w:sz w:val="18"/>
          <w:szCs w:val="18"/>
        </w:rPr>
        <w:t>Ceulji</w:t>
      </w:r>
      <w:proofErr w:type="spellEnd"/>
      <w:r w:rsidRPr="003B2DB0">
        <w:rPr>
          <w:sz w:val="18"/>
          <w:szCs w:val="18"/>
        </w:rPr>
        <w:t>/Ulbra. E-mail: thammyresende@hotmail.com</w:t>
      </w:r>
    </w:p>
  </w:footnote>
  <w:footnote w:id="5">
    <w:p w:rsidR="003B2DB0" w:rsidRPr="003B2DB0" w:rsidRDefault="003B2DB0" w:rsidP="003B2DB0">
      <w:pPr>
        <w:pStyle w:val="Textodenotaderodap"/>
        <w:rPr>
          <w:sz w:val="18"/>
          <w:szCs w:val="18"/>
        </w:rPr>
      </w:pPr>
      <w:r w:rsidRPr="003B2DB0">
        <w:rPr>
          <w:rStyle w:val="Refdenotaderodap"/>
          <w:sz w:val="18"/>
          <w:szCs w:val="18"/>
        </w:rPr>
        <w:footnoteRef/>
      </w:r>
      <w:r w:rsidRPr="003B2DB0">
        <w:rPr>
          <w:sz w:val="18"/>
          <w:szCs w:val="18"/>
        </w:rPr>
        <w:t xml:space="preserve"> Professora titular do Curso de Direito do </w:t>
      </w:r>
      <w:proofErr w:type="spellStart"/>
      <w:r w:rsidRPr="003B2DB0">
        <w:rPr>
          <w:sz w:val="18"/>
          <w:szCs w:val="18"/>
        </w:rPr>
        <w:t>Ceulji</w:t>
      </w:r>
      <w:proofErr w:type="spellEnd"/>
      <w:r w:rsidRPr="003B2DB0">
        <w:rPr>
          <w:sz w:val="18"/>
          <w:szCs w:val="18"/>
        </w:rPr>
        <w:t>/Ulbra. E-mail: newtonsv@hotmail.com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DAC" w:rsidRDefault="004107A3" w:rsidP="0072071A">
    <w:pPr>
      <w:pStyle w:val="Cabealho"/>
      <w:ind w:hanging="113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903243F" wp14:editId="48925FB3">
          <wp:simplePos x="0" y="0"/>
          <wp:positionH relativeFrom="column">
            <wp:posOffset>-695960</wp:posOffset>
          </wp:positionH>
          <wp:positionV relativeFrom="paragraph">
            <wp:posOffset>-11430</wp:posOffset>
          </wp:positionV>
          <wp:extent cx="7559675" cy="1108075"/>
          <wp:effectExtent l="0" t="0" r="3175" b="0"/>
          <wp:wrapThrough wrapText="bothSides">
            <wp:wrapPolygon edited="0">
              <wp:start x="0" y="0"/>
              <wp:lineTo x="0" y="21167"/>
              <wp:lineTo x="21555" y="21167"/>
              <wp:lineTo x="21555" y="0"/>
              <wp:lineTo x="0" y="0"/>
            </wp:wrapPolygon>
          </wp:wrapThrough>
          <wp:docPr id="1" name="Imagem 1" descr="Banner Wor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ner Word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108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45DAC" w:rsidRDefault="00445DA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37C"/>
    <w:rsid w:val="000005ED"/>
    <w:rsid w:val="00011F22"/>
    <w:rsid w:val="00030657"/>
    <w:rsid w:val="00036032"/>
    <w:rsid w:val="000430CE"/>
    <w:rsid w:val="000550DF"/>
    <w:rsid w:val="00073415"/>
    <w:rsid w:val="000814D3"/>
    <w:rsid w:val="0008540B"/>
    <w:rsid w:val="000A15B2"/>
    <w:rsid w:val="000C63FF"/>
    <w:rsid w:val="000D37FA"/>
    <w:rsid w:val="000D3CF9"/>
    <w:rsid w:val="000F195A"/>
    <w:rsid w:val="0012661F"/>
    <w:rsid w:val="0013300C"/>
    <w:rsid w:val="001674B4"/>
    <w:rsid w:val="001802D1"/>
    <w:rsid w:val="001825B5"/>
    <w:rsid w:val="001946D9"/>
    <w:rsid w:val="00195D31"/>
    <w:rsid w:val="001A29F5"/>
    <w:rsid w:val="001B4B1A"/>
    <w:rsid w:val="001E7A4B"/>
    <w:rsid w:val="001F35F3"/>
    <w:rsid w:val="00203EFF"/>
    <w:rsid w:val="00251D48"/>
    <w:rsid w:val="002768DE"/>
    <w:rsid w:val="00281765"/>
    <w:rsid w:val="00282B93"/>
    <w:rsid w:val="00283973"/>
    <w:rsid w:val="002A2B1A"/>
    <w:rsid w:val="002B0CDF"/>
    <w:rsid w:val="002C09D7"/>
    <w:rsid w:val="002E6DEE"/>
    <w:rsid w:val="002E7C6E"/>
    <w:rsid w:val="0030436B"/>
    <w:rsid w:val="003319A4"/>
    <w:rsid w:val="00350E7A"/>
    <w:rsid w:val="00353E11"/>
    <w:rsid w:val="003550D4"/>
    <w:rsid w:val="00362A98"/>
    <w:rsid w:val="003637D5"/>
    <w:rsid w:val="003656DF"/>
    <w:rsid w:val="003737A4"/>
    <w:rsid w:val="00383300"/>
    <w:rsid w:val="00383DFE"/>
    <w:rsid w:val="00387322"/>
    <w:rsid w:val="00387C54"/>
    <w:rsid w:val="003B2DB0"/>
    <w:rsid w:val="003B7FC0"/>
    <w:rsid w:val="003C029D"/>
    <w:rsid w:val="003C3143"/>
    <w:rsid w:val="004107A3"/>
    <w:rsid w:val="004172AB"/>
    <w:rsid w:val="00435867"/>
    <w:rsid w:val="0043760A"/>
    <w:rsid w:val="0044225F"/>
    <w:rsid w:val="00445DAC"/>
    <w:rsid w:val="0045030B"/>
    <w:rsid w:val="00463293"/>
    <w:rsid w:val="00471F89"/>
    <w:rsid w:val="004A62A4"/>
    <w:rsid w:val="004D0271"/>
    <w:rsid w:val="004E2F99"/>
    <w:rsid w:val="004E40D4"/>
    <w:rsid w:val="00505AED"/>
    <w:rsid w:val="0050701E"/>
    <w:rsid w:val="00517275"/>
    <w:rsid w:val="0052655E"/>
    <w:rsid w:val="005338F7"/>
    <w:rsid w:val="00540C9B"/>
    <w:rsid w:val="00543713"/>
    <w:rsid w:val="00551CDD"/>
    <w:rsid w:val="00552597"/>
    <w:rsid w:val="00553E83"/>
    <w:rsid w:val="00564EE8"/>
    <w:rsid w:val="00572882"/>
    <w:rsid w:val="005827D8"/>
    <w:rsid w:val="005B0FE4"/>
    <w:rsid w:val="005B4C8E"/>
    <w:rsid w:val="005C55B0"/>
    <w:rsid w:val="005D1027"/>
    <w:rsid w:val="005F5D08"/>
    <w:rsid w:val="005F6279"/>
    <w:rsid w:val="00615260"/>
    <w:rsid w:val="00625FA5"/>
    <w:rsid w:val="006262A4"/>
    <w:rsid w:val="0063246F"/>
    <w:rsid w:val="00640EC7"/>
    <w:rsid w:val="0064661D"/>
    <w:rsid w:val="00651E22"/>
    <w:rsid w:val="00682D78"/>
    <w:rsid w:val="006A10E0"/>
    <w:rsid w:val="006A3EF0"/>
    <w:rsid w:val="006B1202"/>
    <w:rsid w:val="006C4246"/>
    <w:rsid w:val="006F621C"/>
    <w:rsid w:val="00700197"/>
    <w:rsid w:val="00706405"/>
    <w:rsid w:val="00717F39"/>
    <w:rsid w:val="0072071A"/>
    <w:rsid w:val="007305B5"/>
    <w:rsid w:val="00733842"/>
    <w:rsid w:val="00753D3E"/>
    <w:rsid w:val="00764DD8"/>
    <w:rsid w:val="007719DD"/>
    <w:rsid w:val="007729C8"/>
    <w:rsid w:val="00774525"/>
    <w:rsid w:val="007973DD"/>
    <w:rsid w:val="00797AED"/>
    <w:rsid w:val="007A7017"/>
    <w:rsid w:val="007F4C22"/>
    <w:rsid w:val="00815CAE"/>
    <w:rsid w:val="008221DA"/>
    <w:rsid w:val="00830C41"/>
    <w:rsid w:val="00835F19"/>
    <w:rsid w:val="00840C08"/>
    <w:rsid w:val="0084390C"/>
    <w:rsid w:val="00854FD2"/>
    <w:rsid w:val="0086672B"/>
    <w:rsid w:val="008832D0"/>
    <w:rsid w:val="008A2925"/>
    <w:rsid w:val="008A65CF"/>
    <w:rsid w:val="008B3A53"/>
    <w:rsid w:val="008C7761"/>
    <w:rsid w:val="008D0C29"/>
    <w:rsid w:val="008D1A4F"/>
    <w:rsid w:val="008D4A91"/>
    <w:rsid w:val="008E02DB"/>
    <w:rsid w:val="009078B8"/>
    <w:rsid w:val="00940084"/>
    <w:rsid w:val="00973CA1"/>
    <w:rsid w:val="009757F1"/>
    <w:rsid w:val="009A3C69"/>
    <w:rsid w:val="009B4C93"/>
    <w:rsid w:val="009B759C"/>
    <w:rsid w:val="00A24262"/>
    <w:rsid w:val="00A44866"/>
    <w:rsid w:val="00A52759"/>
    <w:rsid w:val="00A52B73"/>
    <w:rsid w:val="00A62CAD"/>
    <w:rsid w:val="00A811FD"/>
    <w:rsid w:val="00AA0DD3"/>
    <w:rsid w:val="00AA24E3"/>
    <w:rsid w:val="00AA7326"/>
    <w:rsid w:val="00AA7A5A"/>
    <w:rsid w:val="00AB0137"/>
    <w:rsid w:val="00AB0B87"/>
    <w:rsid w:val="00AB4566"/>
    <w:rsid w:val="00AC4843"/>
    <w:rsid w:val="00AD0D7E"/>
    <w:rsid w:val="00AE337C"/>
    <w:rsid w:val="00AF28C3"/>
    <w:rsid w:val="00AF3DC8"/>
    <w:rsid w:val="00B01E87"/>
    <w:rsid w:val="00B06550"/>
    <w:rsid w:val="00B06A38"/>
    <w:rsid w:val="00B27DED"/>
    <w:rsid w:val="00B75D8C"/>
    <w:rsid w:val="00B80930"/>
    <w:rsid w:val="00B81529"/>
    <w:rsid w:val="00BC1E3E"/>
    <w:rsid w:val="00BC441E"/>
    <w:rsid w:val="00BD1406"/>
    <w:rsid w:val="00BE28BD"/>
    <w:rsid w:val="00C0463E"/>
    <w:rsid w:val="00C171E8"/>
    <w:rsid w:val="00C306F3"/>
    <w:rsid w:val="00C35053"/>
    <w:rsid w:val="00C466FC"/>
    <w:rsid w:val="00C53432"/>
    <w:rsid w:val="00C62CF5"/>
    <w:rsid w:val="00C6728D"/>
    <w:rsid w:val="00C734FC"/>
    <w:rsid w:val="00C848A4"/>
    <w:rsid w:val="00C84FF1"/>
    <w:rsid w:val="00CA1729"/>
    <w:rsid w:val="00CE5D72"/>
    <w:rsid w:val="00D04DF2"/>
    <w:rsid w:val="00D53063"/>
    <w:rsid w:val="00D5663C"/>
    <w:rsid w:val="00D613EB"/>
    <w:rsid w:val="00D865AD"/>
    <w:rsid w:val="00D96458"/>
    <w:rsid w:val="00D97A0A"/>
    <w:rsid w:val="00DA21D7"/>
    <w:rsid w:val="00DC0178"/>
    <w:rsid w:val="00DC4EF1"/>
    <w:rsid w:val="00DE6074"/>
    <w:rsid w:val="00DF68D9"/>
    <w:rsid w:val="00E23E11"/>
    <w:rsid w:val="00E3245A"/>
    <w:rsid w:val="00E410F5"/>
    <w:rsid w:val="00E41620"/>
    <w:rsid w:val="00E61F3C"/>
    <w:rsid w:val="00E661FC"/>
    <w:rsid w:val="00EC09B5"/>
    <w:rsid w:val="00EC4178"/>
    <w:rsid w:val="00ED5596"/>
    <w:rsid w:val="00ED7C82"/>
    <w:rsid w:val="00EE3490"/>
    <w:rsid w:val="00EF720C"/>
    <w:rsid w:val="00F16B60"/>
    <w:rsid w:val="00F20739"/>
    <w:rsid w:val="00F26792"/>
    <w:rsid w:val="00F500D0"/>
    <w:rsid w:val="00F65B14"/>
    <w:rsid w:val="00F9741E"/>
    <w:rsid w:val="00FA1AC0"/>
    <w:rsid w:val="00FB2C7A"/>
    <w:rsid w:val="00FB4FD3"/>
    <w:rsid w:val="00FB5F3B"/>
    <w:rsid w:val="00FC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4178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830C4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8C776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C7761"/>
  </w:style>
  <w:style w:type="character" w:styleId="Refdenotaderodap">
    <w:name w:val="footnote reference"/>
    <w:basedOn w:val="Fontepargpadro"/>
    <w:uiPriority w:val="99"/>
    <w:rsid w:val="008C7761"/>
    <w:rPr>
      <w:vertAlign w:val="superscript"/>
    </w:rPr>
  </w:style>
  <w:style w:type="paragraph" w:customStyle="1" w:styleId="Default">
    <w:name w:val="Default"/>
    <w:basedOn w:val="Normal"/>
    <w:rsid w:val="00B81529"/>
    <w:pPr>
      <w:autoSpaceDE w:val="0"/>
      <w:autoSpaceDN w:val="0"/>
    </w:pPr>
    <w:rPr>
      <w:rFonts w:ascii="Arial" w:eastAsia="Calibri" w:hAnsi="Arial" w:cs="Arial"/>
      <w:color w:val="000000"/>
    </w:rPr>
  </w:style>
  <w:style w:type="paragraph" w:styleId="Cabealho">
    <w:name w:val="header"/>
    <w:basedOn w:val="Normal"/>
    <w:link w:val="CabealhoChar"/>
    <w:uiPriority w:val="99"/>
    <w:rsid w:val="00445D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45DAC"/>
    <w:rPr>
      <w:sz w:val="24"/>
      <w:szCs w:val="24"/>
    </w:rPr>
  </w:style>
  <w:style w:type="paragraph" w:styleId="Rodap">
    <w:name w:val="footer"/>
    <w:basedOn w:val="Normal"/>
    <w:link w:val="RodapChar"/>
    <w:rsid w:val="00445D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45DAC"/>
    <w:rPr>
      <w:sz w:val="24"/>
      <w:szCs w:val="24"/>
    </w:rPr>
  </w:style>
  <w:style w:type="paragraph" w:styleId="Textodebalo">
    <w:name w:val="Balloon Text"/>
    <w:basedOn w:val="Normal"/>
    <w:link w:val="TextodebaloChar"/>
    <w:rsid w:val="00445D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45D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4178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830C4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8C776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C7761"/>
  </w:style>
  <w:style w:type="character" w:styleId="Refdenotaderodap">
    <w:name w:val="footnote reference"/>
    <w:basedOn w:val="Fontepargpadro"/>
    <w:uiPriority w:val="99"/>
    <w:rsid w:val="008C7761"/>
    <w:rPr>
      <w:vertAlign w:val="superscript"/>
    </w:rPr>
  </w:style>
  <w:style w:type="paragraph" w:customStyle="1" w:styleId="Default">
    <w:name w:val="Default"/>
    <w:basedOn w:val="Normal"/>
    <w:rsid w:val="00B81529"/>
    <w:pPr>
      <w:autoSpaceDE w:val="0"/>
      <w:autoSpaceDN w:val="0"/>
    </w:pPr>
    <w:rPr>
      <w:rFonts w:ascii="Arial" w:eastAsia="Calibri" w:hAnsi="Arial" w:cs="Arial"/>
      <w:color w:val="000000"/>
    </w:rPr>
  </w:style>
  <w:style w:type="paragraph" w:styleId="Cabealho">
    <w:name w:val="header"/>
    <w:basedOn w:val="Normal"/>
    <w:link w:val="CabealhoChar"/>
    <w:uiPriority w:val="99"/>
    <w:rsid w:val="00445D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45DAC"/>
    <w:rPr>
      <w:sz w:val="24"/>
      <w:szCs w:val="24"/>
    </w:rPr>
  </w:style>
  <w:style w:type="paragraph" w:styleId="Rodap">
    <w:name w:val="footer"/>
    <w:basedOn w:val="Normal"/>
    <w:link w:val="RodapChar"/>
    <w:rsid w:val="00445D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45DAC"/>
    <w:rPr>
      <w:sz w:val="24"/>
      <w:szCs w:val="24"/>
    </w:rPr>
  </w:style>
  <w:style w:type="paragraph" w:styleId="Textodebalo">
    <w:name w:val="Balloon Text"/>
    <w:basedOn w:val="Normal"/>
    <w:link w:val="TextodebaloChar"/>
    <w:rsid w:val="00445D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45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s%20and%20Settings\jparana81\Meus%20documentos\AAA%20Meus%20Documentos%202012\EDITAL%20DO%20XV%20SAL&#195;O%20DE%20INICIA&#199;&#195;O%20CIENT&#205;FICA%20DO%20CEULJI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3464F7-4C12-4682-A88C-D9B36ACE9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EDITAL DO XV SALÃO DE INICIAÇÃO CIENTÍFICA DO CEULJI.dot</Template>
  <TotalTime>5064</TotalTime>
  <Pages>1</Pages>
  <Words>630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DO XV SALÃO DE INICIAÇÃO CIENTÍFICA DO CEULJI/ULBRA</vt:lpstr>
    </vt:vector>
  </TitlesOfParts>
  <Company>ULBRA</Company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DO XV SALÃO DE INICIAÇÃO CIENTÍFICA DO CEULJI/ULBRA</dc:title>
  <dc:creator>jparana81</dc:creator>
  <cp:lastModifiedBy>Usuário do Windows</cp:lastModifiedBy>
  <cp:revision>24</cp:revision>
  <cp:lastPrinted>2016-09-25T13:01:00Z</cp:lastPrinted>
  <dcterms:created xsi:type="dcterms:W3CDTF">2017-09-05T12:37:00Z</dcterms:created>
  <dcterms:modified xsi:type="dcterms:W3CDTF">2017-09-18T14:03:00Z</dcterms:modified>
</cp:coreProperties>
</file>