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951" w:rsidRPr="00F1237C" w:rsidRDefault="00E71A10" w:rsidP="00AA26B5">
      <w:pPr>
        <w:shd w:val="clear" w:color="auto" w:fill="FFFFFF"/>
        <w:tabs>
          <w:tab w:val="left" w:pos="8504"/>
        </w:tabs>
        <w:jc w:val="both"/>
        <w:outlineLvl w:val="3"/>
        <w:rPr>
          <w:b/>
          <w:sz w:val="22"/>
          <w:szCs w:val="22"/>
        </w:rPr>
      </w:pPr>
      <w:r w:rsidRPr="00F1237C">
        <w:rPr>
          <w:b/>
          <w:sz w:val="22"/>
          <w:szCs w:val="22"/>
        </w:rPr>
        <w:t>PRISÃO EM SEGUNDA INSTÂNCIA – RELATIVIZAÇÃO DO TRÂNSITO EM JULGADO</w:t>
      </w:r>
    </w:p>
    <w:p w:rsidR="00F1237C" w:rsidRDefault="00F1237C" w:rsidP="00AA26B5">
      <w:pPr>
        <w:autoSpaceDE w:val="0"/>
        <w:autoSpaceDN w:val="0"/>
        <w:adjustRightInd w:val="0"/>
        <w:ind w:left="6379"/>
        <w:jc w:val="both"/>
        <w:rPr>
          <w:bCs/>
          <w:color w:val="000000"/>
          <w:sz w:val="22"/>
          <w:szCs w:val="22"/>
        </w:rPr>
      </w:pPr>
    </w:p>
    <w:p w:rsidR="00207951" w:rsidRPr="00F1237C" w:rsidRDefault="00F1237C" w:rsidP="00AA26B5">
      <w:pPr>
        <w:autoSpaceDE w:val="0"/>
        <w:autoSpaceDN w:val="0"/>
        <w:adjustRightInd w:val="0"/>
        <w:ind w:left="6379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Aluízio Azere</w:t>
      </w:r>
      <w:r w:rsidR="00E71A10" w:rsidRPr="00F1237C">
        <w:rPr>
          <w:bCs/>
          <w:color w:val="000000"/>
          <w:sz w:val="22"/>
          <w:szCs w:val="22"/>
        </w:rPr>
        <w:t>do Dutra Filho</w:t>
      </w:r>
      <w:r w:rsidR="00207951" w:rsidRPr="00F1237C">
        <w:rPr>
          <w:rStyle w:val="Refdenotaderodap"/>
          <w:bCs/>
          <w:color w:val="000000"/>
          <w:sz w:val="22"/>
          <w:szCs w:val="22"/>
        </w:rPr>
        <w:footnoteReference w:id="1"/>
      </w:r>
    </w:p>
    <w:p w:rsidR="0081651E" w:rsidRPr="00F1237C" w:rsidRDefault="0081651E" w:rsidP="00AA26B5">
      <w:pPr>
        <w:autoSpaceDE w:val="0"/>
        <w:autoSpaceDN w:val="0"/>
        <w:adjustRightInd w:val="0"/>
        <w:ind w:left="6379"/>
        <w:jc w:val="both"/>
        <w:rPr>
          <w:bCs/>
          <w:color w:val="000000"/>
          <w:sz w:val="22"/>
          <w:szCs w:val="22"/>
        </w:rPr>
      </w:pPr>
      <w:proofErr w:type="spellStart"/>
      <w:r w:rsidRPr="00F1237C">
        <w:rPr>
          <w:bCs/>
          <w:color w:val="000000"/>
          <w:sz w:val="22"/>
          <w:szCs w:val="22"/>
        </w:rPr>
        <w:t>Ewerson</w:t>
      </w:r>
      <w:proofErr w:type="spellEnd"/>
      <w:r w:rsidRPr="00F1237C">
        <w:rPr>
          <w:bCs/>
          <w:color w:val="000000"/>
          <w:sz w:val="22"/>
          <w:szCs w:val="22"/>
        </w:rPr>
        <w:t xml:space="preserve"> Andrey Esteves da Silva</w:t>
      </w:r>
      <w:r w:rsidRPr="00F1237C">
        <w:rPr>
          <w:rStyle w:val="Refdenotaderodap"/>
          <w:bCs/>
          <w:color w:val="000000"/>
          <w:sz w:val="22"/>
          <w:szCs w:val="22"/>
        </w:rPr>
        <w:footnoteReference w:id="2"/>
      </w:r>
    </w:p>
    <w:p w:rsidR="0081651E" w:rsidRPr="00F1237C" w:rsidRDefault="0081651E" w:rsidP="00AA26B5">
      <w:pPr>
        <w:autoSpaceDE w:val="0"/>
        <w:autoSpaceDN w:val="0"/>
        <w:adjustRightInd w:val="0"/>
        <w:ind w:left="6379"/>
        <w:jc w:val="both"/>
        <w:rPr>
          <w:bCs/>
          <w:color w:val="000000"/>
          <w:sz w:val="22"/>
          <w:szCs w:val="22"/>
        </w:rPr>
      </w:pPr>
      <w:r w:rsidRPr="00F1237C">
        <w:rPr>
          <w:bCs/>
          <w:color w:val="000000"/>
          <w:sz w:val="22"/>
          <w:szCs w:val="22"/>
        </w:rPr>
        <w:t>Márcio Calado da Silva</w:t>
      </w:r>
      <w:r w:rsidRPr="00F1237C">
        <w:rPr>
          <w:rStyle w:val="Refdenotaderodap"/>
          <w:bCs/>
          <w:color w:val="000000"/>
          <w:sz w:val="22"/>
          <w:szCs w:val="22"/>
        </w:rPr>
        <w:footnoteReference w:id="3"/>
      </w:r>
    </w:p>
    <w:p w:rsidR="0081651E" w:rsidRPr="00F1237C" w:rsidRDefault="0081651E" w:rsidP="00AA26B5">
      <w:pPr>
        <w:autoSpaceDE w:val="0"/>
        <w:autoSpaceDN w:val="0"/>
        <w:adjustRightInd w:val="0"/>
        <w:ind w:left="6379"/>
        <w:jc w:val="both"/>
        <w:rPr>
          <w:bCs/>
          <w:color w:val="000000"/>
          <w:sz w:val="22"/>
          <w:szCs w:val="22"/>
        </w:rPr>
      </w:pPr>
    </w:p>
    <w:p w:rsidR="00207951" w:rsidRPr="00AA26B5" w:rsidRDefault="00161828" w:rsidP="00AA26B5">
      <w:pPr>
        <w:shd w:val="clear" w:color="auto" w:fill="FFFFFF"/>
        <w:tabs>
          <w:tab w:val="left" w:pos="8504"/>
        </w:tabs>
        <w:jc w:val="both"/>
        <w:outlineLvl w:val="3"/>
        <w:rPr>
          <w:sz w:val="22"/>
          <w:szCs w:val="22"/>
        </w:rPr>
      </w:pPr>
      <w:r w:rsidRPr="00AA26B5">
        <w:rPr>
          <w:b/>
          <w:sz w:val="22"/>
          <w:szCs w:val="22"/>
        </w:rPr>
        <w:t>PALAVRA CHAVE</w:t>
      </w:r>
      <w:r w:rsidR="00E71A10" w:rsidRPr="00AA26B5">
        <w:rPr>
          <w:sz w:val="22"/>
          <w:szCs w:val="22"/>
        </w:rPr>
        <w:t xml:space="preserve">: Presunção, Trânsito em julgado e Retrocesso </w:t>
      </w:r>
    </w:p>
    <w:p w:rsidR="00E71A10" w:rsidRPr="00AA26B5" w:rsidRDefault="00207951" w:rsidP="00AA26B5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AA26B5">
        <w:rPr>
          <w:b/>
          <w:bCs/>
          <w:color w:val="000000"/>
          <w:sz w:val="22"/>
          <w:szCs w:val="22"/>
        </w:rPr>
        <w:t>INTRODUÇÃO</w:t>
      </w:r>
      <w:r w:rsidR="00F1237C" w:rsidRPr="00AA26B5">
        <w:rPr>
          <w:bCs/>
          <w:color w:val="000000"/>
          <w:sz w:val="22"/>
          <w:szCs w:val="22"/>
        </w:rPr>
        <w:t>:</w:t>
      </w:r>
      <w:r w:rsidRPr="00AA26B5">
        <w:rPr>
          <w:bCs/>
          <w:color w:val="000000"/>
          <w:sz w:val="22"/>
          <w:szCs w:val="22"/>
        </w:rPr>
        <w:t xml:space="preserve"> </w:t>
      </w:r>
      <w:r w:rsidR="00E71A10" w:rsidRPr="00AA26B5">
        <w:rPr>
          <w:rFonts w:eastAsia="Calibri"/>
          <w:sz w:val="22"/>
          <w:szCs w:val="22"/>
        </w:rPr>
        <w:t>Recente decisão do Supremo Tribunal Federal em que pode o</w:t>
      </w:r>
      <w:r w:rsidR="00D13728" w:rsidRPr="00AA26B5">
        <w:rPr>
          <w:rFonts w:eastAsia="Calibri"/>
          <w:sz w:val="22"/>
          <w:szCs w:val="22"/>
        </w:rPr>
        <w:t>correr a prisão em segunda instâ</w:t>
      </w:r>
      <w:r w:rsidR="00E71A10" w:rsidRPr="00AA26B5">
        <w:rPr>
          <w:rFonts w:eastAsia="Calibri"/>
          <w:sz w:val="22"/>
          <w:szCs w:val="22"/>
        </w:rPr>
        <w:t>ncia fere o princípio da presunção de inocência, ex</w:t>
      </w:r>
      <w:r w:rsidR="00161828" w:rsidRPr="00AA26B5">
        <w:rPr>
          <w:rFonts w:eastAsia="Calibri"/>
          <w:sz w:val="22"/>
          <w:szCs w:val="22"/>
        </w:rPr>
        <w:t>presso no artigo 5º, inciso LVII</w:t>
      </w:r>
      <w:r w:rsidR="00E71A10" w:rsidRPr="00AA26B5">
        <w:rPr>
          <w:rFonts w:eastAsia="Calibri"/>
          <w:sz w:val="22"/>
          <w:szCs w:val="22"/>
        </w:rPr>
        <w:t xml:space="preserve"> e no preceito infraconstitucional do art</w:t>
      </w:r>
      <w:r w:rsidR="003C798C" w:rsidRPr="00AA26B5">
        <w:rPr>
          <w:rFonts w:eastAsia="Calibri"/>
          <w:sz w:val="22"/>
          <w:szCs w:val="22"/>
        </w:rPr>
        <w:t>igo 283 do CPP. Mitigação do trâ</w:t>
      </w:r>
      <w:r w:rsidR="00E71A10" w:rsidRPr="00AA26B5">
        <w:rPr>
          <w:rFonts w:eastAsia="Calibri"/>
          <w:sz w:val="22"/>
          <w:szCs w:val="22"/>
        </w:rPr>
        <w:t>nsito em julgado e um retrocesso a garantia fundamental do cidadão.</w:t>
      </w:r>
      <w:r w:rsidR="00F1237C" w:rsidRPr="00AA26B5">
        <w:rPr>
          <w:rFonts w:eastAsia="Calibri"/>
          <w:sz w:val="22"/>
          <w:szCs w:val="22"/>
        </w:rPr>
        <w:t xml:space="preserve"> </w:t>
      </w:r>
      <w:r w:rsidR="00E71A10" w:rsidRPr="00AA26B5">
        <w:rPr>
          <w:b/>
          <w:bCs/>
          <w:color w:val="000000"/>
          <w:sz w:val="22"/>
          <w:szCs w:val="22"/>
        </w:rPr>
        <w:t>METODOLOGIA</w:t>
      </w:r>
      <w:r w:rsidR="00F1237C" w:rsidRPr="00AA26B5">
        <w:rPr>
          <w:bCs/>
          <w:color w:val="000000"/>
          <w:sz w:val="22"/>
          <w:szCs w:val="22"/>
        </w:rPr>
        <w:t>:</w:t>
      </w:r>
      <w:r w:rsidR="00F1237C" w:rsidRPr="00AA26B5">
        <w:rPr>
          <w:b/>
          <w:bCs/>
          <w:color w:val="000000"/>
          <w:sz w:val="22"/>
          <w:szCs w:val="22"/>
        </w:rPr>
        <w:t xml:space="preserve"> </w:t>
      </w:r>
      <w:r w:rsidR="00E71A10" w:rsidRPr="00AA26B5">
        <w:rPr>
          <w:bCs/>
          <w:color w:val="000000"/>
          <w:sz w:val="22"/>
          <w:szCs w:val="22"/>
        </w:rPr>
        <w:t>A metodologia usada para elaboração deste trabal</w:t>
      </w:r>
      <w:r w:rsidR="00F1237C" w:rsidRPr="00AA26B5">
        <w:rPr>
          <w:bCs/>
          <w:color w:val="000000"/>
          <w:sz w:val="22"/>
          <w:szCs w:val="22"/>
        </w:rPr>
        <w:t xml:space="preserve">ho foi a pesquisa bibliográfica. </w:t>
      </w:r>
      <w:r w:rsidR="00F3584B" w:rsidRPr="00AA26B5">
        <w:rPr>
          <w:b/>
          <w:color w:val="000000"/>
          <w:sz w:val="22"/>
          <w:szCs w:val="22"/>
        </w:rPr>
        <w:t>RESULTADOS E DISCUSSÃO</w:t>
      </w:r>
      <w:r w:rsidR="00F1237C" w:rsidRPr="00AA26B5">
        <w:rPr>
          <w:color w:val="000000"/>
          <w:sz w:val="22"/>
          <w:szCs w:val="22"/>
        </w:rPr>
        <w:t>:</w:t>
      </w:r>
      <w:r w:rsidR="00F3584B" w:rsidRPr="00AA26B5">
        <w:rPr>
          <w:b/>
          <w:color w:val="000000"/>
          <w:sz w:val="22"/>
          <w:szCs w:val="22"/>
        </w:rPr>
        <w:t xml:space="preserve"> </w:t>
      </w:r>
      <w:r w:rsidR="00E71A10" w:rsidRPr="00AA26B5">
        <w:rPr>
          <w:rFonts w:eastAsia="Calibri"/>
          <w:sz w:val="22"/>
          <w:szCs w:val="22"/>
        </w:rPr>
        <w:t>Historicamente, o princípio da presunção de inocência foi a maior conquista do povo brasileiro, frente ao poder e força imensurável do Estado, coube ao constituinte originário em seu art. 5º, garantias fundamentais, estampar expressamente o princípio em comento, assegurando que ninguém se</w:t>
      </w:r>
      <w:r w:rsidR="003C798C" w:rsidRPr="00AA26B5">
        <w:rPr>
          <w:rFonts w:eastAsia="Calibri"/>
          <w:sz w:val="22"/>
          <w:szCs w:val="22"/>
        </w:rPr>
        <w:t>rá considerado culpado até o trâ</w:t>
      </w:r>
      <w:r w:rsidR="00E71A10" w:rsidRPr="00AA26B5">
        <w:rPr>
          <w:rFonts w:eastAsia="Calibri"/>
          <w:sz w:val="22"/>
          <w:szCs w:val="22"/>
        </w:rPr>
        <w:t xml:space="preserve">nsito julgado de sentença penal condenatória. </w:t>
      </w:r>
    </w:p>
    <w:p w:rsidR="00E71A10" w:rsidRPr="00AA26B5" w:rsidRDefault="00E71A10" w:rsidP="00AA26B5">
      <w:pPr>
        <w:jc w:val="both"/>
        <w:rPr>
          <w:rFonts w:eastAsia="Calibri"/>
          <w:sz w:val="22"/>
          <w:szCs w:val="22"/>
        </w:rPr>
      </w:pPr>
      <w:r w:rsidRPr="00AA26B5">
        <w:rPr>
          <w:rFonts w:eastAsia="Calibri"/>
          <w:sz w:val="22"/>
          <w:szCs w:val="22"/>
        </w:rPr>
        <w:t>Em recente</w:t>
      </w:r>
      <w:r w:rsidR="003C798C" w:rsidRPr="00AA26B5">
        <w:rPr>
          <w:rFonts w:eastAsia="Calibri"/>
          <w:sz w:val="22"/>
          <w:szCs w:val="22"/>
        </w:rPr>
        <w:t xml:space="preserve"> julgado o STF relativizou o trâ</w:t>
      </w:r>
      <w:r w:rsidRPr="00AA26B5">
        <w:rPr>
          <w:rFonts w:eastAsia="Calibri"/>
          <w:sz w:val="22"/>
          <w:szCs w:val="22"/>
        </w:rPr>
        <w:t>nsito em julgado, proferindo que pode</w:t>
      </w:r>
      <w:r w:rsidR="003C798C" w:rsidRPr="00AA26B5">
        <w:rPr>
          <w:rFonts w:eastAsia="Calibri"/>
          <w:sz w:val="22"/>
          <w:szCs w:val="22"/>
        </w:rPr>
        <w:t xml:space="preserve"> ser</w:t>
      </w:r>
      <w:r w:rsidRPr="00AA26B5">
        <w:rPr>
          <w:rFonts w:eastAsia="Calibri"/>
          <w:sz w:val="22"/>
          <w:szCs w:val="22"/>
        </w:rPr>
        <w:t xml:space="preserve"> iniciar a execução da pena em segunda instância, afrontando a Carta Maior e desrespeito ao preceito do artigo 283 CPP, que v.g. se encaixa como uma luva ao mandamento constitucional da presunção de inocência. Desobediência esta porque declarou constitucional o artigo 283 do CPP, nas ADC 43 e 44</w:t>
      </w:r>
    </w:p>
    <w:p w:rsidR="00E71A10" w:rsidRPr="00AA26B5" w:rsidRDefault="00E71A10" w:rsidP="00AA26B5">
      <w:pPr>
        <w:jc w:val="both"/>
        <w:rPr>
          <w:rFonts w:eastAsia="Calibri"/>
          <w:sz w:val="22"/>
          <w:szCs w:val="22"/>
        </w:rPr>
      </w:pPr>
      <w:r w:rsidRPr="00AA26B5">
        <w:rPr>
          <w:rFonts w:eastAsia="Calibri"/>
          <w:sz w:val="22"/>
          <w:szCs w:val="22"/>
        </w:rPr>
        <w:t>No julgamento do HC 84.078-MG de relatoria do Min. Eros Grau, o STF ente</w:t>
      </w:r>
      <w:r w:rsidR="003C798C" w:rsidRPr="00AA26B5">
        <w:rPr>
          <w:rFonts w:eastAsia="Calibri"/>
          <w:sz w:val="22"/>
          <w:szCs w:val="22"/>
        </w:rPr>
        <w:t>ndeu que a não efetivação do trâ</w:t>
      </w:r>
      <w:r w:rsidRPr="00AA26B5">
        <w:rPr>
          <w:rFonts w:eastAsia="Calibri"/>
          <w:sz w:val="22"/>
          <w:szCs w:val="22"/>
        </w:rPr>
        <w:t>nsito em julgado afastava sim a possibilidade do início de cumprimento de pena, conforme exposto na ementa desse importante julgado exposto a seguir:</w:t>
      </w:r>
    </w:p>
    <w:p w:rsidR="00E71A10" w:rsidRPr="00AA26B5" w:rsidRDefault="00E71A10" w:rsidP="00AA26B5">
      <w:pPr>
        <w:jc w:val="both"/>
        <w:rPr>
          <w:rFonts w:eastAsia="Calibri"/>
          <w:sz w:val="22"/>
          <w:szCs w:val="22"/>
        </w:rPr>
      </w:pPr>
      <w:r w:rsidRPr="00AA26B5">
        <w:rPr>
          <w:rFonts w:eastAsia="Calibri"/>
          <w:sz w:val="22"/>
          <w:szCs w:val="22"/>
        </w:rPr>
        <w:t>HABEAS CORPUS. INCONSTITUCIONALIDADE DA CHAMADA “EXECUÇÃO ANTECIPADA DA PENA”. ART. 5º, LVII, DA CONSTITUIÇÃ O DO BRASIL. DIGNIDADE DA PESSOA HUMANA. ART. 1º, III, DA CONSTITUIÇÃO DO BRASIL. [...] A Lei de Execução Penal condicionou a execução da pena privativa de liberdade ao trânsito em julgado da sentença condenatória. A Constituição do Brasil de 1988 definiu, em seu art. 5º, inciso LVII, que “ninguém será considerado culpado até o trânsito em julgado de sentença penal condenatória”. [...] 3. A prisão antes do trânsito em julgado da condenação somente pode ser decretada a título cautelar. [...]</w:t>
      </w:r>
    </w:p>
    <w:p w:rsidR="00E71A10" w:rsidRPr="00AA26B5" w:rsidRDefault="003C798C" w:rsidP="00AA26B5">
      <w:pPr>
        <w:jc w:val="both"/>
        <w:rPr>
          <w:rFonts w:eastAsia="Calibri"/>
          <w:sz w:val="22"/>
          <w:szCs w:val="22"/>
        </w:rPr>
      </w:pPr>
      <w:r w:rsidRPr="00AA26B5">
        <w:rPr>
          <w:rFonts w:eastAsia="Calibri"/>
          <w:sz w:val="22"/>
          <w:szCs w:val="22"/>
        </w:rPr>
        <w:t>Mudando o paradigma</w:t>
      </w:r>
      <w:r w:rsidR="00E71A10" w:rsidRPr="00AA26B5">
        <w:rPr>
          <w:rFonts w:eastAsia="Calibri"/>
          <w:sz w:val="22"/>
          <w:szCs w:val="22"/>
        </w:rPr>
        <w:t xml:space="preserve"> no HC 126.292 – SP, o STF decidiu por maioria a possibilidade de pri</w:t>
      </w:r>
      <w:r w:rsidRPr="00AA26B5">
        <w:rPr>
          <w:rFonts w:eastAsia="Calibri"/>
          <w:sz w:val="22"/>
          <w:szCs w:val="22"/>
        </w:rPr>
        <w:t>são em sentença de 2º instâ</w:t>
      </w:r>
      <w:r w:rsidR="00161828" w:rsidRPr="00AA26B5">
        <w:rPr>
          <w:rFonts w:eastAsia="Calibri"/>
          <w:sz w:val="22"/>
          <w:szCs w:val="22"/>
        </w:rPr>
        <w:t xml:space="preserve">ncia, </w:t>
      </w:r>
      <w:r w:rsidR="00E71A10" w:rsidRPr="00AA26B5">
        <w:rPr>
          <w:rFonts w:eastAsia="Calibri"/>
          <w:sz w:val="22"/>
          <w:szCs w:val="22"/>
        </w:rPr>
        <w:t xml:space="preserve">no julgamento do HC 126.292-SP ficou evidenciado a contradição nos votos, como o abaixo do Min. </w:t>
      </w:r>
      <w:proofErr w:type="spellStart"/>
      <w:r w:rsidR="00E71A10" w:rsidRPr="00AA26B5">
        <w:rPr>
          <w:rFonts w:eastAsia="Calibri"/>
          <w:sz w:val="22"/>
          <w:szCs w:val="22"/>
        </w:rPr>
        <w:t>Fachin</w:t>
      </w:r>
      <w:proofErr w:type="spellEnd"/>
      <w:r w:rsidR="00E71A10" w:rsidRPr="00AA26B5">
        <w:rPr>
          <w:rFonts w:eastAsia="Calibri"/>
          <w:sz w:val="22"/>
          <w:szCs w:val="22"/>
        </w:rPr>
        <w:t>, que foi seguida pelos demais:</w:t>
      </w:r>
    </w:p>
    <w:p w:rsidR="00F1237C" w:rsidRPr="00AA26B5" w:rsidRDefault="00E71A10" w:rsidP="00AA26B5">
      <w:pPr>
        <w:jc w:val="both"/>
        <w:rPr>
          <w:rFonts w:eastAsia="Calibri"/>
          <w:color w:val="1A1A1A"/>
          <w:sz w:val="22"/>
          <w:szCs w:val="22"/>
          <w:shd w:val="clear" w:color="auto" w:fill="FFFFFF"/>
        </w:rPr>
      </w:pPr>
      <w:r w:rsidRPr="00AA26B5">
        <w:rPr>
          <w:rFonts w:eastAsia="Calibri"/>
          <w:color w:val="1A1A1A"/>
          <w:sz w:val="22"/>
          <w:szCs w:val="22"/>
          <w:shd w:val="clear" w:color="auto" w:fill="FFFFFF"/>
        </w:rPr>
        <w:t>“Voto por declarar a constitucionalidade do art. 283 do Código de Processo Penal, com interpretação conforme à Constituição, que afasta aquela conferida pelos autores nas iniciais dos presentes feitos segundo à qual referida norma impediria o início da execução da pena tão logo esgotadas as instâncias ordinárias, assentando que é coerente com a Constituição o principiar de execução criminal quando houver condenação confirmada em segundo grau, salvo atribuição expressa de efeito suspensivo ao recurso cabível.”</w:t>
      </w:r>
      <w:r w:rsidR="00F1237C" w:rsidRPr="00AA26B5">
        <w:rPr>
          <w:rFonts w:eastAsia="Calibri"/>
          <w:color w:val="1A1A1A"/>
          <w:sz w:val="22"/>
          <w:szCs w:val="22"/>
          <w:shd w:val="clear" w:color="auto" w:fill="FFFFFF"/>
        </w:rPr>
        <w:t xml:space="preserve"> </w:t>
      </w:r>
      <w:r w:rsidR="00F3584B" w:rsidRPr="00AA26B5">
        <w:rPr>
          <w:b/>
          <w:color w:val="000000"/>
          <w:sz w:val="22"/>
          <w:szCs w:val="22"/>
        </w:rPr>
        <w:t>CONCLUSÃO OU CONSIDERAÇÕES FINAIS</w:t>
      </w:r>
      <w:r w:rsidR="00F1237C" w:rsidRPr="00AA26B5">
        <w:rPr>
          <w:color w:val="000000"/>
          <w:sz w:val="22"/>
          <w:szCs w:val="22"/>
        </w:rPr>
        <w:t>:</w:t>
      </w:r>
      <w:r w:rsidR="00303BDC" w:rsidRPr="00AA26B5">
        <w:rPr>
          <w:b/>
          <w:color w:val="000000"/>
          <w:sz w:val="22"/>
          <w:szCs w:val="22"/>
        </w:rPr>
        <w:t xml:space="preserve"> </w:t>
      </w:r>
      <w:r w:rsidRPr="00AA26B5">
        <w:rPr>
          <w:rFonts w:eastAsia="Calibri"/>
          <w:color w:val="1A1A1A"/>
          <w:sz w:val="22"/>
          <w:szCs w:val="22"/>
          <w:shd w:val="clear" w:color="auto" w:fill="FFFFFF"/>
        </w:rPr>
        <w:t>Destarte, enquanto houver possibilidade de o cidadão responder e</w:t>
      </w:r>
      <w:r w:rsidR="0050763D" w:rsidRPr="00AA26B5">
        <w:rPr>
          <w:rFonts w:eastAsia="Calibri"/>
          <w:color w:val="1A1A1A"/>
          <w:sz w:val="22"/>
          <w:szCs w:val="22"/>
          <w:shd w:val="clear" w:color="auto" w:fill="FFFFFF"/>
        </w:rPr>
        <w:t>m</w:t>
      </w:r>
      <w:r w:rsidRPr="00AA26B5">
        <w:rPr>
          <w:rFonts w:eastAsia="Calibri"/>
          <w:color w:val="1A1A1A"/>
          <w:sz w:val="22"/>
          <w:szCs w:val="22"/>
          <w:shd w:val="clear" w:color="auto" w:fill="FFFFFF"/>
        </w:rPr>
        <w:t xml:space="preserve"> liberdade deverá assim ser, desta forma, enquanto não se chegar</w:t>
      </w:r>
      <w:r w:rsidR="003C798C" w:rsidRPr="00AA26B5">
        <w:rPr>
          <w:rFonts w:eastAsia="Calibri"/>
          <w:color w:val="1A1A1A"/>
          <w:sz w:val="22"/>
          <w:szCs w:val="22"/>
          <w:shd w:val="clear" w:color="auto" w:fill="FFFFFF"/>
        </w:rPr>
        <w:t xml:space="preserve"> as cortes superiores não há trâ</w:t>
      </w:r>
      <w:r w:rsidRPr="00AA26B5">
        <w:rPr>
          <w:rFonts w:eastAsia="Calibri"/>
          <w:color w:val="1A1A1A"/>
          <w:sz w:val="22"/>
          <w:szCs w:val="22"/>
          <w:shd w:val="clear" w:color="auto" w:fill="FFFFFF"/>
        </w:rPr>
        <w:t xml:space="preserve">nsito em julgado. O último suspiro do acusado deve ser nas cortes superiores, conforme os artigos </w:t>
      </w:r>
      <w:r w:rsidR="003C798C" w:rsidRPr="00AA26B5">
        <w:rPr>
          <w:rFonts w:eastAsia="Calibri"/>
          <w:color w:val="1A1A1A"/>
          <w:sz w:val="22"/>
          <w:szCs w:val="22"/>
          <w:shd w:val="clear" w:color="auto" w:fill="FFFFFF"/>
        </w:rPr>
        <w:t>283 CPP e artigo 5º, inciso LVII</w:t>
      </w:r>
      <w:r w:rsidRPr="00AA26B5">
        <w:rPr>
          <w:rFonts w:eastAsia="Calibri"/>
          <w:color w:val="1A1A1A"/>
          <w:sz w:val="22"/>
          <w:szCs w:val="22"/>
          <w:shd w:val="clear" w:color="auto" w:fill="FFFFFF"/>
        </w:rPr>
        <w:t>, sendo assim, estará prestigiando a intenção do legislador, tendo em vista se fosse essa a sua vontade, determinaria no texto legal a possibilidade de prisão em condenação em segunda instância e não conforme a dec</w:t>
      </w:r>
      <w:r w:rsidR="003C798C" w:rsidRPr="00AA26B5">
        <w:rPr>
          <w:rFonts w:eastAsia="Calibri"/>
          <w:color w:val="1A1A1A"/>
          <w:sz w:val="22"/>
          <w:szCs w:val="22"/>
          <w:shd w:val="clear" w:color="auto" w:fill="FFFFFF"/>
        </w:rPr>
        <w:t>isão da Corte Maior '' antes do trâ</w:t>
      </w:r>
      <w:r w:rsidRPr="00AA26B5">
        <w:rPr>
          <w:rFonts w:eastAsia="Calibri"/>
          <w:color w:val="1A1A1A"/>
          <w:sz w:val="22"/>
          <w:szCs w:val="22"/>
          <w:shd w:val="clear" w:color="auto" w:fill="FFFFFF"/>
        </w:rPr>
        <w:t xml:space="preserve">nsito </w:t>
      </w:r>
    </w:p>
    <w:p w:rsidR="00E71A10" w:rsidRPr="00AA26B5" w:rsidRDefault="00F1237C" w:rsidP="00AA26B5">
      <w:pPr>
        <w:jc w:val="both"/>
        <w:rPr>
          <w:rFonts w:eastAsia="Calibri"/>
          <w:color w:val="1A1A1A"/>
          <w:sz w:val="22"/>
          <w:szCs w:val="22"/>
          <w:shd w:val="clear" w:color="auto" w:fill="FFFFFF"/>
        </w:rPr>
      </w:pPr>
      <w:proofErr w:type="gramStart"/>
      <w:r w:rsidRPr="00AA26B5">
        <w:rPr>
          <w:rFonts w:eastAsia="Calibri"/>
          <w:color w:val="1A1A1A"/>
          <w:sz w:val="22"/>
          <w:szCs w:val="22"/>
          <w:shd w:val="clear" w:color="auto" w:fill="FFFFFF"/>
        </w:rPr>
        <w:t>julgado</w:t>
      </w:r>
      <w:proofErr w:type="gramEnd"/>
      <w:r w:rsidR="00E71A10" w:rsidRPr="00AA26B5">
        <w:rPr>
          <w:rFonts w:eastAsia="Calibri"/>
          <w:color w:val="1A1A1A"/>
          <w:sz w:val="22"/>
          <w:szCs w:val="22"/>
          <w:shd w:val="clear" w:color="auto" w:fill="FFFFFF"/>
        </w:rPr>
        <w:t>''. Espera-se uma visão à luz da constituição e que o STF após esse desastroso julgado retifique com um novo e definitivo a favor do cidadão em frente a desproporção de armas entre Estado e o cidadão.</w:t>
      </w:r>
    </w:p>
    <w:p w:rsidR="00E71A10" w:rsidRPr="00AA26B5" w:rsidRDefault="00E71A10" w:rsidP="00AA26B5">
      <w:pPr>
        <w:jc w:val="both"/>
        <w:rPr>
          <w:b/>
          <w:sz w:val="22"/>
          <w:szCs w:val="22"/>
        </w:rPr>
      </w:pPr>
    </w:p>
    <w:p w:rsidR="00283C1E" w:rsidRPr="00AA26B5" w:rsidRDefault="00283C1E" w:rsidP="00AA26B5">
      <w:pPr>
        <w:jc w:val="both"/>
        <w:rPr>
          <w:sz w:val="22"/>
          <w:szCs w:val="22"/>
        </w:rPr>
      </w:pPr>
      <w:bookmarkStart w:id="0" w:name="_GoBack"/>
      <w:bookmarkEnd w:id="0"/>
    </w:p>
    <w:sectPr w:rsidR="00283C1E" w:rsidRPr="00AA26B5" w:rsidSect="00AA26B5">
      <w:headerReference w:type="default" r:id="rId6"/>
      <w:pgSz w:w="11906" w:h="16838"/>
      <w:pgMar w:top="113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C91" w:rsidRDefault="005B3C91" w:rsidP="00207951">
      <w:r>
        <w:separator/>
      </w:r>
    </w:p>
  </w:endnote>
  <w:endnote w:type="continuationSeparator" w:id="0">
    <w:p w:rsidR="005B3C91" w:rsidRDefault="005B3C91" w:rsidP="00207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C91" w:rsidRDefault="005B3C91" w:rsidP="00207951">
      <w:r>
        <w:separator/>
      </w:r>
    </w:p>
  </w:footnote>
  <w:footnote w:type="continuationSeparator" w:id="0">
    <w:p w:rsidR="005B3C91" w:rsidRDefault="005B3C91" w:rsidP="00207951">
      <w:r>
        <w:continuationSeparator/>
      </w:r>
    </w:p>
  </w:footnote>
  <w:footnote w:id="1">
    <w:p w:rsidR="00207951" w:rsidRPr="004F60A6" w:rsidRDefault="00207951" w:rsidP="002E703B">
      <w:pPr>
        <w:pStyle w:val="Textodenotaderodap"/>
        <w:jc w:val="both"/>
        <w:rPr>
          <w:sz w:val="18"/>
          <w:szCs w:val="18"/>
          <w:u w:val="single"/>
        </w:rPr>
      </w:pPr>
    </w:p>
  </w:footnote>
  <w:footnote w:id="2">
    <w:p w:rsidR="00AA26B5" w:rsidRPr="00303BDC" w:rsidRDefault="00AA26B5" w:rsidP="00AA26B5">
      <w:pPr>
        <w:pStyle w:val="Textodenotaderodap"/>
        <w:rPr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Pr="00303BDC">
        <w:rPr>
          <w:sz w:val="18"/>
          <w:szCs w:val="18"/>
        </w:rPr>
        <w:t>Acadêmic</w:t>
      </w:r>
      <w:r>
        <w:rPr>
          <w:sz w:val="18"/>
          <w:szCs w:val="18"/>
        </w:rPr>
        <w:t>o</w:t>
      </w:r>
      <w:r w:rsidRPr="00303BDC">
        <w:rPr>
          <w:sz w:val="18"/>
          <w:szCs w:val="18"/>
        </w:rPr>
        <w:t xml:space="preserve"> do</w:t>
      </w:r>
      <w:r>
        <w:rPr>
          <w:sz w:val="18"/>
          <w:szCs w:val="18"/>
        </w:rPr>
        <w:t xml:space="preserve"> 6ª período do curso de Direito CEULJI/ULBRA. Márcio Calado da Silva   </w:t>
      </w:r>
      <w:proofErr w:type="gramStart"/>
      <w:r>
        <w:rPr>
          <w:sz w:val="18"/>
          <w:szCs w:val="18"/>
        </w:rPr>
        <w:t xml:space="preserve">e-mail  </w:t>
      </w:r>
      <w:hyperlink r:id="rId1" w:history="1">
        <w:r w:rsidRPr="000D1118">
          <w:rPr>
            <w:rStyle w:val="Hyperlink"/>
            <w:sz w:val="18"/>
            <w:szCs w:val="18"/>
          </w:rPr>
          <w:t>marciocalad@hotmail.com</w:t>
        </w:r>
        <w:proofErr w:type="gramEnd"/>
      </w:hyperlink>
      <w:r>
        <w:rPr>
          <w:sz w:val="18"/>
          <w:szCs w:val="18"/>
        </w:rPr>
        <w:tab/>
      </w:r>
    </w:p>
    <w:p w:rsidR="00AA26B5" w:rsidRDefault="00AA26B5" w:rsidP="00AA26B5">
      <w:pPr>
        <w:pStyle w:val="Textodenotaderodap"/>
        <w:rPr>
          <w:sz w:val="18"/>
          <w:szCs w:val="18"/>
        </w:rPr>
      </w:pPr>
      <w:r w:rsidRPr="00303BDC">
        <w:rPr>
          <w:rStyle w:val="Refdenotaderodap"/>
          <w:sz w:val="18"/>
          <w:szCs w:val="18"/>
        </w:rPr>
        <w:footnoteRef/>
      </w:r>
      <w:r w:rsidRPr="00303BDC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Acadêmico </w:t>
      </w:r>
      <w:r w:rsidRPr="00303BDC">
        <w:rPr>
          <w:sz w:val="18"/>
          <w:szCs w:val="18"/>
        </w:rPr>
        <w:t>do</w:t>
      </w:r>
      <w:r>
        <w:rPr>
          <w:sz w:val="18"/>
          <w:szCs w:val="18"/>
        </w:rPr>
        <w:t xml:space="preserve"> 6° período do</w:t>
      </w:r>
      <w:r w:rsidRPr="00303BDC">
        <w:rPr>
          <w:sz w:val="18"/>
          <w:szCs w:val="18"/>
        </w:rPr>
        <w:t xml:space="preserve"> curso de</w:t>
      </w:r>
      <w:r>
        <w:rPr>
          <w:sz w:val="18"/>
          <w:szCs w:val="18"/>
        </w:rPr>
        <w:t xml:space="preserve"> Direito CEULJI/ULBRA. </w:t>
      </w:r>
      <w:r w:rsidRPr="00303BDC">
        <w:rPr>
          <w:sz w:val="18"/>
          <w:szCs w:val="18"/>
        </w:rPr>
        <w:t>Aluízio</w:t>
      </w:r>
      <w:r>
        <w:rPr>
          <w:sz w:val="18"/>
          <w:szCs w:val="18"/>
        </w:rPr>
        <w:t xml:space="preserve"> A. Dutra Filho     </w:t>
      </w:r>
      <w:proofErr w:type="gramStart"/>
      <w:r>
        <w:rPr>
          <w:sz w:val="18"/>
          <w:szCs w:val="18"/>
        </w:rPr>
        <w:t>e-mail  aluiziord@hotmail.com</w:t>
      </w:r>
      <w:proofErr w:type="gramEnd"/>
      <w:r>
        <w:rPr>
          <w:sz w:val="18"/>
          <w:szCs w:val="18"/>
        </w:rPr>
        <w:tab/>
      </w:r>
    </w:p>
    <w:p w:rsidR="00AA26B5" w:rsidRPr="00303BDC" w:rsidRDefault="00AA26B5" w:rsidP="00AA26B5">
      <w:pPr>
        <w:pStyle w:val="Textodenotaderodap"/>
        <w:rPr>
          <w:sz w:val="18"/>
          <w:szCs w:val="18"/>
        </w:rPr>
      </w:pPr>
      <w:r w:rsidRPr="00F1237C">
        <w:rPr>
          <w:sz w:val="18"/>
          <w:szCs w:val="18"/>
          <w:vertAlign w:val="superscript"/>
        </w:rPr>
        <w:t>3</w:t>
      </w:r>
      <w:r w:rsidRPr="0081651E">
        <w:rPr>
          <w:sz w:val="18"/>
          <w:szCs w:val="18"/>
        </w:rPr>
        <w:t xml:space="preserve"> </w:t>
      </w:r>
      <w:r w:rsidRPr="00303BDC">
        <w:rPr>
          <w:sz w:val="18"/>
          <w:szCs w:val="18"/>
        </w:rPr>
        <w:t>Acadêmic</w:t>
      </w:r>
      <w:r>
        <w:rPr>
          <w:sz w:val="18"/>
          <w:szCs w:val="18"/>
        </w:rPr>
        <w:t>o</w:t>
      </w:r>
      <w:r w:rsidRPr="00303BDC">
        <w:rPr>
          <w:sz w:val="18"/>
          <w:szCs w:val="18"/>
        </w:rPr>
        <w:t xml:space="preserve"> do</w:t>
      </w:r>
      <w:r>
        <w:rPr>
          <w:sz w:val="18"/>
          <w:szCs w:val="18"/>
        </w:rPr>
        <w:t xml:space="preserve"> 7º</w:t>
      </w:r>
      <w:r w:rsidRPr="00303BDC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período do curso </w:t>
      </w:r>
      <w:r w:rsidRPr="00303BDC">
        <w:rPr>
          <w:sz w:val="18"/>
          <w:szCs w:val="18"/>
        </w:rPr>
        <w:t>de</w:t>
      </w:r>
      <w:r>
        <w:rPr>
          <w:sz w:val="18"/>
          <w:szCs w:val="18"/>
        </w:rPr>
        <w:t xml:space="preserve"> Direito CEULJI/ULBRA. </w:t>
      </w:r>
      <w:proofErr w:type="spellStart"/>
      <w:r>
        <w:rPr>
          <w:bCs/>
          <w:color w:val="000000"/>
          <w:sz w:val="22"/>
          <w:szCs w:val="22"/>
        </w:rPr>
        <w:t>Ewerson</w:t>
      </w:r>
      <w:proofErr w:type="spellEnd"/>
      <w:r>
        <w:rPr>
          <w:bCs/>
          <w:color w:val="000000"/>
          <w:sz w:val="22"/>
          <w:szCs w:val="22"/>
        </w:rPr>
        <w:t xml:space="preserve"> A. E. da Silva  </w:t>
      </w:r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e-mail  ewersonesteves@gmail.com</w:t>
      </w:r>
      <w:proofErr w:type="gramEnd"/>
    </w:p>
    <w:p w:rsidR="00AA26B5" w:rsidRDefault="00AA26B5" w:rsidP="00AA26B5"/>
    <w:p w:rsidR="00F1237C" w:rsidRPr="00303BDC" w:rsidRDefault="00F1237C" w:rsidP="00AA26B5">
      <w:pPr>
        <w:pStyle w:val="Textodenotaderodap"/>
        <w:rPr>
          <w:sz w:val="18"/>
          <w:szCs w:val="18"/>
        </w:rPr>
      </w:pPr>
    </w:p>
    <w:p w:rsidR="0081651E" w:rsidRPr="00AA26B5" w:rsidRDefault="00F1237C" w:rsidP="00AA26B5">
      <w:pPr>
        <w:pStyle w:val="Textodenotaderodap"/>
        <w:ind w:left="-142"/>
        <w:rPr>
          <w:b/>
          <w:color w:val="0000FF" w:themeColor="hyperlink"/>
          <w:sz w:val="26"/>
          <w:szCs w:val="26"/>
          <w:u w:val="single"/>
        </w:rPr>
      </w:pPr>
      <w:r w:rsidRPr="00AA26B5">
        <w:rPr>
          <w:sz w:val="26"/>
          <w:szCs w:val="26"/>
        </w:rPr>
        <w:tab/>
      </w:r>
      <w:r w:rsidR="00AA26B5" w:rsidRPr="00AA26B5">
        <w:rPr>
          <w:b/>
          <w:sz w:val="26"/>
          <w:szCs w:val="26"/>
        </w:rPr>
        <w:t>BIBLIOGRAFIA</w:t>
      </w:r>
    </w:p>
  </w:footnote>
  <w:footnote w:id="3">
    <w:p w:rsidR="004F60A6" w:rsidRPr="00AA26B5" w:rsidRDefault="00AA26B5" w:rsidP="00AA26B5">
      <w:pPr>
        <w:pStyle w:val="Textodenotaderodap"/>
        <w:ind w:right="-1"/>
        <w:rPr>
          <w:color w:val="0000FF" w:themeColor="hyperlink"/>
          <w:sz w:val="18"/>
          <w:szCs w:val="18"/>
          <w:u w:val="single"/>
        </w:rPr>
      </w:pPr>
      <w:r>
        <w:rPr>
          <w:b/>
          <w:sz w:val="22"/>
          <w:szCs w:val="22"/>
        </w:rPr>
        <w:t xml:space="preserve"> </w:t>
      </w:r>
      <w:r w:rsidR="004F60A6" w:rsidRPr="00F1237C">
        <w:rPr>
          <w:b/>
          <w:sz w:val="22"/>
          <w:szCs w:val="22"/>
        </w:rPr>
        <w:t xml:space="preserve">GRECO, </w:t>
      </w:r>
      <w:r w:rsidR="004F60A6" w:rsidRPr="00F1237C">
        <w:rPr>
          <w:sz w:val="22"/>
          <w:szCs w:val="22"/>
        </w:rPr>
        <w:t xml:space="preserve">Rogério, </w:t>
      </w:r>
      <w:r w:rsidR="004F60A6" w:rsidRPr="00F1237C">
        <w:rPr>
          <w:b/>
          <w:sz w:val="22"/>
          <w:szCs w:val="22"/>
        </w:rPr>
        <w:t>CÓDIGO PENAL PARTE GERAL COMENTADO</w:t>
      </w:r>
      <w:r w:rsidR="004F60A6" w:rsidRPr="00F1237C">
        <w:rPr>
          <w:sz w:val="22"/>
          <w:szCs w:val="22"/>
        </w:rPr>
        <w:t xml:space="preserve">, Niterói-RJ, ed. 9ª, 2015. Editora </w:t>
      </w:r>
      <w:r>
        <w:rPr>
          <w:sz w:val="22"/>
          <w:szCs w:val="22"/>
        </w:rPr>
        <w:t xml:space="preserve">   </w:t>
      </w:r>
      <w:proofErr w:type="spellStart"/>
      <w:r w:rsidR="004F60A6" w:rsidRPr="00F1237C">
        <w:rPr>
          <w:sz w:val="22"/>
          <w:szCs w:val="22"/>
        </w:rPr>
        <w:t>Impetus</w:t>
      </w:r>
      <w:proofErr w:type="spellEnd"/>
    </w:p>
    <w:p w:rsidR="0081651E" w:rsidRPr="00303BDC" w:rsidRDefault="0081651E" w:rsidP="00AA26B5">
      <w:pPr>
        <w:pStyle w:val="Textodenotaderodap"/>
        <w:rPr>
          <w:sz w:val="18"/>
          <w:szCs w:val="18"/>
        </w:rPr>
      </w:pPr>
      <w:r>
        <w:rPr>
          <w:sz w:val="18"/>
          <w:szCs w:val="18"/>
        </w:rPr>
        <w:tab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286" w:rsidRDefault="00EC6286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-665480</wp:posOffset>
          </wp:positionH>
          <wp:positionV relativeFrom="paragraph">
            <wp:posOffset>-444500</wp:posOffset>
          </wp:positionV>
          <wp:extent cx="7451090" cy="1092835"/>
          <wp:effectExtent l="19050" t="0" r="0" b="0"/>
          <wp:wrapThrough wrapText="bothSides">
            <wp:wrapPolygon edited="0">
              <wp:start x="-55" y="0"/>
              <wp:lineTo x="-55" y="21085"/>
              <wp:lineTo x="21593" y="21085"/>
              <wp:lineTo x="21593" y="0"/>
              <wp:lineTo x="-55" y="0"/>
            </wp:wrapPolygon>
          </wp:wrapThrough>
          <wp:docPr id="31" name="Imagem 31" descr="Banner Wor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ner Word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51090" cy="10928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C6286" w:rsidRDefault="00EC628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951"/>
    <w:rsid w:val="00161828"/>
    <w:rsid w:val="00207951"/>
    <w:rsid w:val="00283C1E"/>
    <w:rsid w:val="00295CC2"/>
    <w:rsid w:val="002E703B"/>
    <w:rsid w:val="00303BDC"/>
    <w:rsid w:val="003C798C"/>
    <w:rsid w:val="00422344"/>
    <w:rsid w:val="00497EC3"/>
    <w:rsid w:val="004F60A6"/>
    <w:rsid w:val="0050763D"/>
    <w:rsid w:val="00526586"/>
    <w:rsid w:val="005B3C91"/>
    <w:rsid w:val="005C72EC"/>
    <w:rsid w:val="006A434B"/>
    <w:rsid w:val="006A6198"/>
    <w:rsid w:val="006E2DD3"/>
    <w:rsid w:val="007121C7"/>
    <w:rsid w:val="0075596E"/>
    <w:rsid w:val="007A544C"/>
    <w:rsid w:val="0081651E"/>
    <w:rsid w:val="008F66BB"/>
    <w:rsid w:val="00A46D26"/>
    <w:rsid w:val="00AA26B5"/>
    <w:rsid w:val="00AD50C1"/>
    <w:rsid w:val="00C567B1"/>
    <w:rsid w:val="00D11391"/>
    <w:rsid w:val="00D13728"/>
    <w:rsid w:val="00DD64BE"/>
    <w:rsid w:val="00DF20C9"/>
    <w:rsid w:val="00E71A10"/>
    <w:rsid w:val="00EC6286"/>
    <w:rsid w:val="00F1237C"/>
    <w:rsid w:val="00F3584B"/>
    <w:rsid w:val="00FC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E9874A8-5324-4B75-8B0A-F49B1E117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951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rsid w:val="00207951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20795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rsid w:val="00207951"/>
    <w:rPr>
      <w:vertAlign w:val="superscript"/>
    </w:rPr>
  </w:style>
  <w:style w:type="paragraph" w:customStyle="1" w:styleId="Default">
    <w:name w:val="Default"/>
    <w:basedOn w:val="Normal"/>
    <w:rsid w:val="00207951"/>
    <w:pPr>
      <w:autoSpaceDE w:val="0"/>
      <w:autoSpaceDN w:val="0"/>
    </w:pPr>
    <w:rPr>
      <w:rFonts w:ascii="Arial" w:eastAsia="Calibri" w:hAnsi="Arial" w:cs="Arial"/>
      <w:color w:val="000000"/>
    </w:rPr>
  </w:style>
  <w:style w:type="paragraph" w:styleId="Cabealho">
    <w:name w:val="header"/>
    <w:basedOn w:val="Normal"/>
    <w:link w:val="CabealhoChar"/>
    <w:uiPriority w:val="99"/>
    <w:unhideWhenUsed/>
    <w:rsid w:val="00EC62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C628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EC62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C628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62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6286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2E70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marciocalad@hot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Heineck</dc:creator>
  <cp:lastModifiedBy>LG</cp:lastModifiedBy>
  <cp:revision>2</cp:revision>
  <dcterms:created xsi:type="dcterms:W3CDTF">2017-09-18T18:03:00Z</dcterms:created>
  <dcterms:modified xsi:type="dcterms:W3CDTF">2017-09-18T18:03:00Z</dcterms:modified>
</cp:coreProperties>
</file>